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AB1" w:rsidRPr="00141497" w:rsidRDefault="003D3592" w:rsidP="008C7819">
      <w:pPr>
        <w:ind w:left="142"/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</w:pPr>
      <w:bookmarkStart w:id="0" w:name="_GoBack"/>
      <w:bookmarkEnd w:id="0"/>
      <w:r w:rsidRPr="00141497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-553068</wp:posOffset>
            </wp:positionV>
            <wp:extent cx="2052000" cy="558000"/>
            <wp:effectExtent l="0" t="0" r="5715" b="0"/>
            <wp:wrapNone/>
            <wp:docPr id="68" name="Grafik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Grafik 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5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4EC1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>Décision du 2</w:t>
      </w:r>
      <w:r w:rsidR="00F63E64" w:rsidRPr="00141497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 xml:space="preserve">0 juin </w:t>
      </w:r>
      <w:r w:rsidR="00476AB1" w:rsidRPr="00141497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>2016</w:t>
      </w:r>
      <w:r w:rsidR="00F63E64" w:rsidRPr="00141497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 xml:space="preserve"> </w:t>
      </w:r>
      <w:r w:rsidR="007206A8" w:rsidRPr="00141497">
        <w:rPr>
          <w:rFonts w:ascii="Arial" w:hAnsi="Arial" w:cs="Arial"/>
          <w:b/>
          <w:bCs/>
          <w:color w:val="FF0000"/>
          <w:w w:val="105"/>
          <w:sz w:val="20"/>
          <w:szCs w:val="20"/>
          <w:lang w:val="fr-CH" w:eastAsia="de-DE"/>
        </w:rPr>
        <w:t xml:space="preserve">/ </w:t>
      </w:r>
      <w:r w:rsidR="005F5BBF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Recommandations relatives aux ex</w:t>
      </w:r>
      <w:r w:rsidR="007206A8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igences minimales </w:t>
      </w:r>
      <w:r w:rsidR="005F5BBF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requises pour </w:t>
      </w:r>
      <w:r w:rsidR="007206A8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la formation de base en entreprise</w:t>
      </w:r>
      <w:r w:rsidR="005F5BBF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 ou </w:t>
      </w:r>
      <w:r w:rsidR="007206A8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>déléguée                                       Annexe</w:t>
      </w:r>
      <w:r w:rsidR="0043205A" w:rsidRPr="00141497">
        <w:rPr>
          <w:rFonts w:ascii="Arial" w:hAnsi="Arial" w:cs="Arial"/>
          <w:b/>
          <w:bCs/>
          <w:w w:val="105"/>
          <w:sz w:val="20"/>
          <w:szCs w:val="20"/>
          <w:lang w:val="fr-CH" w:eastAsia="de-DE"/>
        </w:rPr>
        <w:t xml:space="preserve"> 1</w:t>
      </w:r>
    </w:p>
    <w:tbl>
      <w:tblPr>
        <w:tblStyle w:val="Tabellenraster"/>
        <w:tblW w:w="160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4253"/>
        <w:gridCol w:w="5528"/>
      </w:tblGrid>
      <w:tr w:rsidR="00BB26FE" w:rsidRPr="00EB0D9B" w:rsidTr="008C7819">
        <w:trPr>
          <w:trHeight w:val="612"/>
        </w:trPr>
        <w:tc>
          <w:tcPr>
            <w:tcW w:w="10490" w:type="dxa"/>
            <w:gridSpan w:val="4"/>
            <w:shd w:val="clear" w:color="auto" w:fill="D9D9D9" w:themeFill="background1" w:themeFillShade="D9"/>
          </w:tcPr>
          <w:p w:rsidR="00BB26FE" w:rsidRPr="00141497" w:rsidRDefault="00117281" w:rsidP="007206A8">
            <w:pPr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</w:pPr>
            <w:r w:rsidRPr="0014149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val="fr-CH" w:eastAsia="de-DE"/>
              </w:rPr>
              <w:t>E</w:t>
            </w:r>
            <w:r w:rsidR="005F5BBF" w:rsidRPr="00141497">
              <w:rPr>
                <w:rFonts w:ascii="Arial" w:hAnsi="Arial" w:cs="Arial"/>
                <w:b/>
                <w:bCs/>
                <w:w w:val="105"/>
                <w:sz w:val="20"/>
                <w:szCs w:val="20"/>
                <w:lang w:val="fr-CH" w:eastAsia="de-DE"/>
              </w:rPr>
              <w:t>xigences minimales requises pour la formation de base (FB) en entreprise ou déléguée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ab/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BB26FE" w:rsidRPr="00141497" w:rsidRDefault="00AD798F" w:rsidP="005F5BBF">
            <w:pPr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>Durée min. :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 xml:space="preserve"> 20</w:t>
            </w:r>
            <w:r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 xml:space="preserve"> leçons de 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 xml:space="preserve">50 </w:t>
            </w:r>
            <w:r w:rsidRPr="00141497">
              <w:rPr>
                <w:rStyle w:val="st1"/>
                <w:rFonts w:ascii="Arial" w:hAnsi="Arial" w:cs="Arial"/>
                <w:b/>
                <w:bCs/>
                <w:sz w:val="24"/>
                <w:szCs w:val="24"/>
                <w:lang w:val="fr-CH"/>
              </w:rPr>
              <w:t>minutes chacune, hors test final de 30 minutes au moins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 xml:space="preserve"> </w:t>
            </w:r>
          </w:p>
        </w:tc>
      </w:tr>
      <w:tr w:rsidR="00BB26FE" w:rsidRPr="00141497" w:rsidTr="00B3727F">
        <w:tc>
          <w:tcPr>
            <w:tcW w:w="1843" w:type="dxa"/>
          </w:tcPr>
          <w:p w:rsidR="00BB26FE" w:rsidRPr="00141497" w:rsidRDefault="00FC0DC8" w:rsidP="006A5388">
            <w:pPr>
              <w:pStyle w:val="Listenabsatz"/>
              <w:ind w:left="0"/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Sujets</w:t>
            </w:r>
          </w:p>
        </w:tc>
        <w:tc>
          <w:tcPr>
            <w:tcW w:w="1559" w:type="dxa"/>
          </w:tcPr>
          <w:p w:rsidR="00BB26FE" w:rsidRPr="00141497" w:rsidRDefault="00FC0DC8" w:rsidP="00FC0DC8">
            <w:pPr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>Durée minimale</w:t>
            </w:r>
          </w:p>
        </w:tc>
        <w:tc>
          <w:tcPr>
            <w:tcW w:w="2835" w:type="dxa"/>
          </w:tcPr>
          <w:p w:rsidR="00BB26FE" w:rsidRPr="00141497" w:rsidRDefault="008038EE" w:rsidP="00AD798F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Remarques</w:t>
            </w:r>
            <w:r w:rsidR="00AD798F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, contenus</w:t>
            </w:r>
          </w:p>
        </w:tc>
        <w:tc>
          <w:tcPr>
            <w:tcW w:w="4253" w:type="dxa"/>
          </w:tcPr>
          <w:p w:rsidR="00BB26FE" w:rsidRPr="00141497" w:rsidRDefault="00AD798F" w:rsidP="00701850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Compétences opérationnelles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</w:t>
            </w:r>
          </w:p>
        </w:tc>
        <w:tc>
          <w:tcPr>
            <w:tcW w:w="5528" w:type="dxa"/>
          </w:tcPr>
          <w:p w:rsidR="00BB26FE" w:rsidRPr="00141497" w:rsidRDefault="00FC0DC8" w:rsidP="00701850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Objectifs didactiques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</w:t>
            </w:r>
          </w:p>
        </w:tc>
      </w:tr>
      <w:tr w:rsidR="00BB26FE" w:rsidRPr="00EB0D9B" w:rsidTr="00B3727F">
        <w:tc>
          <w:tcPr>
            <w:tcW w:w="1843" w:type="dxa"/>
          </w:tcPr>
          <w:p w:rsidR="00BB26FE" w:rsidRPr="00141497" w:rsidRDefault="00943872" w:rsidP="00943872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Compétences sociales et éthique professionnelle</w:t>
            </w:r>
          </w:p>
        </w:tc>
        <w:tc>
          <w:tcPr>
            <w:tcW w:w="1559" w:type="dxa"/>
          </w:tcPr>
          <w:p w:rsidR="00BB26FE" w:rsidRPr="00141497" w:rsidRDefault="006A5388" w:rsidP="00943872">
            <w:pPr>
              <w:rPr>
                <w:rStyle w:val="st1"/>
                <w:rFonts w:ascii="Arial" w:hAnsi="Arial" w:cs="Arial"/>
                <w:bCs/>
                <w:sz w:val="18"/>
                <w:szCs w:val="18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>5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 xml:space="preserve"> </w:t>
            </w:r>
            <w:r w:rsidR="00943872"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>leçons</w:t>
            </w:r>
          </w:p>
        </w:tc>
        <w:tc>
          <w:tcPr>
            <w:tcW w:w="2835" w:type="dxa"/>
          </w:tcPr>
          <w:p w:rsidR="00B3727F" w:rsidRPr="00141497" w:rsidRDefault="005E6D1F" w:rsidP="00701850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Contenu </w:t>
            </w:r>
            <w:r w:rsidR="00B3727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: </w:t>
            </w:r>
            <w:r w:rsidR="001E6D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apparence</w:t>
            </w:r>
            <w:r w:rsidR="005B515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soignée (</w:t>
            </w:r>
            <w:r w:rsidR="009C4642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tenue</w:t>
            </w:r>
            <w:r w:rsidR="005B515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 uniforme, hygiène)</w:t>
            </w:r>
            <w:r w:rsidR="00B3727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16103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contenance, </w:t>
            </w:r>
            <w:r w:rsidR="00B3727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FB799E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honorabilité</w:t>
            </w:r>
            <w:r w:rsidR="0016103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comportement adapté à la situation, </w:t>
            </w:r>
            <w:r w:rsidR="00AC526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attitude professionnelle avec les </w:t>
            </w:r>
            <w:r w:rsidR="00FB799E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tiers</w:t>
            </w:r>
            <w:r w:rsidR="00AC526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 en particulier dans des situations difficiles, maîtrise de soi, en particulier dans des situations</w:t>
            </w:r>
            <w:r w:rsidR="005C2A1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de stress et</w:t>
            </w:r>
            <w:r w:rsidR="00AC526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de conflit, mise en </w:t>
            </w:r>
            <w:r w:rsidR="001E6D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œuvre</w:t>
            </w:r>
            <w:r w:rsidR="00AC526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des techniques de </w:t>
            </w:r>
            <w:r w:rsidR="001E6D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désescalade verbale et non</w:t>
            </w:r>
            <w:r w:rsidR="00D80D59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1E6D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verbale</w:t>
            </w:r>
          </w:p>
          <w:p w:rsidR="00B3727F" w:rsidRPr="00141497" w:rsidRDefault="00B3727F" w:rsidP="00701850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</w:p>
          <w:p w:rsidR="00B3727F" w:rsidRPr="00141497" w:rsidRDefault="008038EE" w:rsidP="00B3727F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Remarque</w:t>
            </w:r>
            <w:r w:rsidR="0027278D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</w:t>
            </w:r>
            <w:r w:rsidR="00B3727F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: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il y a lieu d’entraîner un comportement adéquat pour les cas les plus courants (contrôles d’accès, par exemple) et de l’assimiler</w:t>
            </w:r>
          </w:p>
          <w:p w:rsidR="00B3727F" w:rsidRPr="00141497" w:rsidRDefault="00B3727F" w:rsidP="00701850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  <w:tc>
          <w:tcPr>
            <w:tcW w:w="4253" w:type="dxa"/>
          </w:tcPr>
          <w:p w:rsidR="00B3727F" w:rsidRPr="00141497" w:rsidRDefault="00A10191" w:rsidP="00701850">
            <w:pPr>
              <w:rPr>
                <w:rStyle w:val="st1"/>
                <w:rFonts w:ascii="Arial" w:hAnsi="Arial" w:cs="Arial"/>
                <w:bCs/>
                <w:sz w:val="20"/>
                <w:szCs w:val="20"/>
                <w:highlight w:val="yellow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L’apparence est soignée, les convenances sont observées, </w:t>
            </w:r>
            <w:r w:rsidR="0084116A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en particulier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dans les situations les plus difficiles</w:t>
            </w:r>
          </w:p>
          <w:p w:rsidR="00BB26FE" w:rsidRPr="00141497" w:rsidRDefault="00BB26FE" w:rsidP="00701850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528" w:type="dxa"/>
          </w:tcPr>
          <w:p w:rsidR="00701850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0B1EF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Mentionne les éléments dont il faut tenir compte pour avoir une apparence soignée</w:t>
            </w:r>
          </w:p>
          <w:p w:rsidR="00701850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0B1EF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Adapte sa contenance, son apparence et les convenances à la situation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701850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C4677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Énumère les conséquences </w:t>
            </w:r>
            <w:r w:rsidR="00496CA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de l’inobservation de la distance sociale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 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4128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Cite plusieurs </w:t>
            </w:r>
            <w:r w:rsidR="0052604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types de communication. Précise comment communiquer dans des situations inconfortables (réclamations, plaintes) et </w:t>
            </w:r>
            <w:r w:rsidR="00F92B52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rappelle les règles de comportement à respecter pour se montrer professionnel face à des personnes difficiles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1B13D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Cite les critères qui permettent d</w:t>
            </w:r>
            <w:r w:rsidR="00286545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'identifier </w:t>
            </w:r>
            <w:r w:rsidR="001B13D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des personnes ou</w:t>
            </w:r>
            <w:r w:rsidR="00286545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de cerner des</w:t>
            </w:r>
            <w:r w:rsidR="001B13D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situations suffisamment tôt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701850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4128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Met en évidence des situations de conflit et propose des stratégies de désescalade 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4128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Garde son sang-froid même en cas de stress ou de conflit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4128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Cite les raisons pouvant mener à une escalade et explique comment éviter cette situation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4128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Explique les règles à suivre pour </w:t>
            </w:r>
            <w:r w:rsidR="0007248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amorcer la désescalade verbale ou non</w:t>
            </w:r>
            <w:r w:rsidR="00D80D59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07248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verbale et rappelle les techniques adéquates à appliquer dans des situations typiques pour désamorcer les conflits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701850" w:rsidP="00F34C8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AE538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Rappelle pourquoi un comportement adéquat est important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AE538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Énumère les raisons qui engendrent frustration et agressivité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78074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Sait </w:t>
            </w:r>
            <w:r w:rsidR="0009057A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quoi</w:t>
            </w:r>
            <w:r w:rsidR="0078074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faire pour rester maître de soi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701850" w:rsidP="00AF080D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- </w:t>
            </w:r>
            <w:r w:rsidR="00E4052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Explique ce qu’est le stress,</w:t>
            </w:r>
            <w:r w:rsidR="00AF080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énumère les facteurs de stress, ses effets sur le physique et sur le psychique, ses risques, et propose des stratégies pour le combattre</w:t>
            </w:r>
          </w:p>
        </w:tc>
      </w:tr>
      <w:tr w:rsidR="00BB26FE" w:rsidRPr="00EB0D9B" w:rsidTr="00B3727F">
        <w:tc>
          <w:tcPr>
            <w:tcW w:w="1843" w:type="dxa"/>
          </w:tcPr>
          <w:p w:rsidR="00BB26FE" w:rsidRPr="00141497" w:rsidRDefault="00FC0DC8" w:rsidP="006A5388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Droit</w:t>
            </w:r>
          </w:p>
        </w:tc>
        <w:tc>
          <w:tcPr>
            <w:tcW w:w="1559" w:type="dxa"/>
          </w:tcPr>
          <w:p w:rsidR="00BB26FE" w:rsidRPr="00141497" w:rsidRDefault="006A5388" w:rsidP="00FC0DC8">
            <w:pPr>
              <w:rPr>
                <w:rStyle w:val="st1"/>
                <w:rFonts w:ascii="Arial" w:hAnsi="Arial" w:cs="Arial"/>
                <w:bCs/>
                <w:sz w:val="18"/>
                <w:szCs w:val="18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5</w:t>
            </w:r>
            <w:r w:rsidR="00BB26FE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 </w:t>
            </w:r>
            <w:r w:rsidR="00FC0DC8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leçons</w:t>
            </w:r>
          </w:p>
        </w:tc>
        <w:tc>
          <w:tcPr>
            <w:tcW w:w="2835" w:type="dxa"/>
          </w:tcPr>
          <w:p w:rsidR="00874D8C" w:rsidRPr="00141497" w:rsidRDefault="00BB16F7" w:rsidP="00874D8C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Contenu </w:t>
            </w:r>
            <w:r w:rsidR="00874D8C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: </w:t>
            </w:r>
            <w:r w:rsidR="00D4557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bases juridiques que doit maîtriser un agent de sécurité, en particulier </w:t>
            </w:r>
            <w:r w:rsidR="00874D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: </w:t>
            </w:r>
          </w:p>
          <w:p w:rsidR="00874D8C" w:rsidRPr="00141497" w:rsidRDefault="00874D8C" w:rsidP="00874D8C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a) </w:t>
            </w:r>
            <w:r w:rsidR="00D7765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distinction entre autorités étatiques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(</w:t>
            </w:r>
            <w:r w:rsidR="00D7765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la police, par ex.) </w:t>
            </w:r>
            <w:r w:rsidR="00D7765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lastRenderedPageBreak/>
              <w:t>et les prestataires de services de sécurité</w:t>
            </w:r>
            <w:r w:rsidR="005C2A1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privés</w:t>
            </w:r>
            <w:r w:rsidR="00D7765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 ;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874D8C" w:rsidRPr="00141497" w:rsidRDefault="00874D8C" w:rsidP="00874D8C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b) </w:t>
            </w:r>
            <w:r w:rsidR="0039768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proportionnalité et conséquences d’un comportement </w:t>
            </w:r>
            <w:r w:rsidR="00E97D4B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inadéquat</w:t>
            </w:r>
            <w:r w:rsidR="0039768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 ;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874D8C" w:rsidRPr="00141497" w:rsidRDefault="00874D8C" w:rsidP="00874D8C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c)  </w:t>
            </w:r>
            <w:r w:rsidR="00965FA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dispositions les plus importantes du droit pénal, de la procédure pénale, du droit civil</w:t>
            </w:r>
            <w:r w:rsidR="00620567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A93BC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et leur portée dans l’exercice de la profession</w:t>
            </w:r>
          </w:p>
          <w:p w:rsidR="00874D8C" w:rsidRPr="00141497" w:rsidRDefault="00874D8C" w:rsidP="00D725D6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</w:p>
          <w:p w:rsidR="00874D8C" w:rsidRPr="00141497" w:rsidRDefault="00874D8C" w:rsidP="00D725D6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</w:p>
          <w:p w:rsidR="00874D8C" w:rsidRPr="00141497" w:rsidRDefault="00874D8C" w:rsidP="00D725D6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</w:p>
          <w:p w:rsidR="00BB26FE" w:rsidRPr="00141497" w:rsidRDefault="002078CD" w:rsidP="00604FFD">
            <w:pPr>
              <w:rPr>
                <w:rStyle w:val="st1"/>
                <w:rFonts w:ascii="Arial" w:hAnsi="Arial" w:cs="Arial"/>
                <w:b/>
                <w:bCs/>
                <w:color w:val="FF0000"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Remarque </w:t>
            </w:r>
            <w:r w:rsidR="00874D8C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 xml:space="preserve">: </w:t>
            </w:r>
            <w:r w:rsidR="00A93BC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les dispositions sont </w:t>
            </w:r>
            <w:r w:rsidR="00E97D4B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expliquées par</w:t>
            </w:r>
            <w:r w:rsidR="00A93BC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des cas pratiques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604FF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Les candidats doivent pouvoir se familiariser en situation avec les notions de légalité et de proportionnalité</w:t>
            </w:r>
            <w:r w:rsidR="00BB26F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</w:t>
            </w:r>
            <w:r w:rsidR="00604FF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par exemple par des jeux de rôles</w:t>
            </w:r>
          </w:p>
        </w:tc>
        <w:tc>
          <w:tcPr>
            <w:tcW w:w="4253" w:type="dxa"/>
          </w:tcPr>
          <w:p w:rsidR="00BB26FE" w:rsidRPr="00141497" w:rsidRDefault="006B4C41" w:rsidP="006B4C41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lastRenderedPageBreak/>
              <w:t>Respecte le cadre légal en toute situation pendant le service</w:t>
            </w:r>
          </w:p>
        </w:tc>
        <w:tc>
          <w:tcPr>
            <w:tcW w:w="5528" w:type="dxa"/>
          </w:tcPr>
          <w:p w:rsidR="00BB26FE" w:rsidRPr="00141497" w:rsidRDefault="00BB26FE" w:rsidP="00A63D19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a) </w:t>
            </w:r>
            <w:r w:rsidR="001D6B8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Fait la différence entre les tâches, les droits et les obligations de la police et ceux des prestataires de services de sécurité</w:t>
            </w:r>
            <w:r w:rsidR="005C2A1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privés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4A39C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Reconnaît les situations typiques dans lesquelles un agent </w:t>
            </w:r>
            <w:r w:rsidR="00B75E16" w:rsidRPr="00D651EE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doit s’abstenir d’</w:t>
            </w:r>
            <w:r w:rsidR="004309FC" w:rsidRPr="00D651EE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intervenir</w:t>
            </w:r>
            <w:r w:rsidR="004309F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pour ne pas entraver l’enquête de police.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Identifie les conflits les plus 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lastRenderedPageBreak/>
              <w:t>fréquents avec l’ordre juridique auxquels sont confrontés les agents pendant leur service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en particulier ceux liés </w:t>
            </w:r>
            <w:r w:rsidR="00814F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à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la liberté</w:t>
            </w:r>
            <w:r w:rsidR="00814F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814F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à 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la sphère privée et a</w:t>
            </w:r>
            <w:r w:rsidR="00814F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u</w:t>
            </w:r>
            <w:r w:rsidR="009C10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secret </w:t>
            </w:r>
            <w:r w:rsidR="00425F8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professionnel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BB26FE" w:rsidP="00A63D19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b) </w:t>
            </w:r>
            <w:r w:rsidR="005E57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Cite les éléments de la proportionnalité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8370D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Décrit</w:t>
            </w:r>
            <w:r w:rsidR="005E57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la manière dont les activités typiques doivent se dérouler pour ne pas enfreindre le principe de proportionnalité. Identifie les conséquences d’un comportement </w:t>
            </w:r>
            <w:r w:rsidR="00B04B9B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inadéquat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 </w:t>
            </w:r>
          </w:p>
          <w:p w:rsidR="00BB26FE" w:rsidRPr="00141497" w:rsidRDefault="00BB26FE" w:rsidP="00B04B9B">
            <w:pPr>
              <w:rPr>
                <w:rStyle w:val="st1"/>
                <w:rFonts w:ascii="Arial" w:hAnsi="Arial" w:cs="Arial"/>
                <w:bCs/>
                <w:color w:val="FF0000"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c) </w:t>
            </w:r>
            <w:r w:rsidR="00723EA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Connaît les compétences légales de l’agent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(</w:t>
            </w:r>
            <w:r w:rsidR="003048D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droits de tout un chacun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: </w:t>
            </w:r>
            <w:r w:rsidR="0098402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légitime défense et assistance à personne en danger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3852C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état de nécessité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4C4E7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arrestation provisoire</w:t>
            </w:r>
            <w:r w:rsidR="00F214A8" w:rsidRPr="005C2A1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 saisie</w:t>
            </w:r>
            <w:r w:rsidR="00F214A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4C4E7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686BB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protection de la possession, </w:t>
            </w:r>
            <w:r w:rsidR="00B04B9B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auto</w:t>
            </w:r>
            <w:r w:rsidR="0004333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défense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 </w:t>
            </w:r>
            <w:r w:rsidR="00723EA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et leurs limites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04333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Cite les principaux motifs justificatifs et leurs conséquences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04333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Explique</w:t>
            </w:r>
            <w:r w:rsidR="00623A4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par ses propres mots, ce qu’il entend par </w:t>
            </w:r>
            <w:r w:rsidR="00DF543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« délit poursuivi sur plainte » et </w:t>
            </w:r>
            <w:r w:rsidR="004C0B7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« infraction par omission » et donne des exemples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9633A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Énumère les caractéristiques principales du droit de domicile et explique la fonction d’un règlement de maison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.</w:t>
            </w:r>
            <w:r w:rsidR="00675C5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Énumère les caractéristiques principales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675C5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des </w:t>
            </w:r>
            <w:r w:rsidR="002362E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éléments de l’infraction liés à l’intervention pour les cas suivants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: </w:t>
            </w:r>
            <w:r w:rsidR="004E0D1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délits contre la vie et l’intégrité corporelle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(</w:t>
            </w:r>
            <w:r w:rsidR="004E0D1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y c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67471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l’omission de prêter secours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), </w:t>
            </w:r>
            <w:r w:rsidR="0067471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contre le patrimoine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(</w:t>
            </w:r>
            <w:r w:rsidR="0067471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en particulier </w:t>
            </w:r>
            <w:r w:rsidR="00460A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détournement de fonds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317D1B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vol, </w:t>
            </w:r>
            <w:r w:rsidR="00672A6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brigandage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E3551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soustraction d’une chose mobilière, </w:t>
            </w:r>
            <w:r w:rsidR="00D8564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dommages à la propriété, </w:t>
            </w:r>
            <w:r w:rsidR="00FD768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escroquerie, </w:t>
            </w:r>
            <w:r w:rsidR="00B331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filouterie d</w:t>
            </w:r>
            <w:r w:rsidR="00D255B9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’auberge, </w:t>
            </w:r>
            <w:r w:rsidR="00B331B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obtention frauduleuse d’une prestation,</w:t>
            </w:r>
            <w:r w:rsidR="000A27C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infractions d’importance mineure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), </w:t>
            </w:r>
            <w:r w:rsidR="0019649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délits contre l’honneur </w:t>
            </w:r>
            <w:r w:rsidR="00D255B9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et</w:t>
            </w:r>
            <w:r w:rsidR="0019649A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AD1D2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infractions contre </w:t>
            </w:r>
            <w:r w:rsidR="00553A1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le domaine secret ou le domaine privé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D255B9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</w:t>
            </w:r>
            <w:r w:rsidR="00553A1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élits contre </w:t>
            </w:r>
            <w:r w:rsidR="007D1432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la liberté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(</w:t>
            </w:r>
            <w:r w:rsidR="0039024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menace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390248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contrainte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D206F7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violation de domicile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), </w:t>
            </w:r>
            <w:r w:rsidR="009C6A7E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usurpation de fonctions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</w:t>
            </w:r>
            <w:r w:rsidR="006E4F97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discrimination raciale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(</w:t>
            </w:r>
            <w:r w:rsidR="00901BF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aussi bien par comportement actif que par </w:t>
            </w:r>
            <w:r w:rsidR="00637E5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refus de prestation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). </w:t>
            </w:r>
            <w:r w:rsidR="00901BF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Décrit, par ses propres mots, le but principal de la </w:t>
            </w:r>
            <w:r w:rsidR="00621064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protection de la personnalité et des données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</w:t>
            </w:r>
            <w:r w:rsidR="007F2A7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Explique les notions de « </w:t>
            </w:r>
            <w:r w:rsidR="00342F2B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capacité d’être interrogé » et de « </w:t>
            </w:r>
            <w:r w:rsidR="000B6A3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droit de refuser de déposer</w:t>
            </w:r>
            <w:r w:rsidR="00342F2B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 » </w:t>
            </w:r>
            <w:r w:rsidR="000B6A3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et leur importance pratique pour les agents</w:t>
            </w:r>
          </w:p>
        </w:tc>
      </w:tr>
    </w:tbl>
    <w:p w:rsidR="00943366" w:rsidRPr="00141497" w:rsidRDefault="00943366">
      <w:pPr>
        <w:rPr>
          <w:lang w:val="fr-CH"/>
        </w:rPr>
      </w:pPr>
      <w:r w:rsidRPr="00141497">
        <w:rPr>
          <w:lang w:val="fr-CH"/>
        </w:rPr>
        <w:lastRenderedPageBreak/>
        <w:br w:type="page"/>
      </w:r>
    </w:p>
    <w:tbl>
      <w:tblPr>
        <w:tblStyle w:val="Tabellenraster"/>
        <w:tblW w:w="160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4253"/>
        <w:gridCol w:w="5528"/>
      </w:tblGrid>
      <w:tr w:rsidR="00BB26FE" w:rsidRPr="00EB0D9B" w:rsidTr="00B3727F">
        <w:tc>
          <w:tcPr>
            <w:tcW w:w="1843" w:type="dxa"/>
          </w:tcPr>
          <w:p w:rsidR="00BB26FE" w:rsidRPr="00141497" w:rsidRDefault="00526044" w:rsidP="006A5388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>Premiers secours</w:t>
            </w:r>
          </w:p>
        </w:tc>
        <w:tc>
          <w:tcPr>
            <w:tcW w:w="1559" w:type="dxa"/>
          </w:tcPr>
          <w:p w:rsidR="00BB26FE" w:rsidRPr="00141497" w:rsidRDefault="006A5388" w:rsidP="00526044">
            <w:pPr>
              <w:rPr>
                <w:rStyle w:val="Hyperlink"/>
                <w:rFonts w:ascii="Arial" w:hAnsi="Arial" w:cs="Arial"/>
                <w:b/>
                <w:color w:val="auto"/>
                <w:sz w:val="18"/>
                <w:szCs w:val="18"/>
                <w:u w:val="none"/>
                <w:lang w:val="fr-CH"/>
              </w:rPr>
            </w:pPr>
            <w:r w:rsidRPr="00141497">
              <w:rPr>
                <w:rStyle w:val="Hyperlink"/>
                <w:rFonts w:ascii="Arial" w:hAnsi="Arial" w:cs="Arial"/>
                <w:b/>
                <w:color w:val="auto"/>
                <w:sz w:val="18"/>
                <w:szCs w:val="18"/>
                <w:u w:val="none"/>
                <w:lang w:val="fr-CH"/>
              </w:rPr>
              <w:t xml:space="preserve">3 </w:t>
            </w:r>
            <w:r w:rsidR="00526044" w:rsidRPr="00141497">
              <w:rPr>
                <w:rStyle w:val="Hyperlink"/>
                <w:rFonts w:ascii="Arial" w:hAnsi="Arial" w:cs="Arial"/>
                <w:b/>
                <w:color w:val="auto"/>
                <w:sz w:val="18"/>
                <w:szCs w:val="18"/>
                <w:u w:val="none"/>
                <w:lang w:val="fr-CH"/>
              </w:rPr>
              <w:t>leçons</w:t>
            </w:r>
          </w:p>
        </w:tc>
        <w:tc>
          <w:tcPr>
            <w:tcW w:w="2835" w:type="dxa"/>
          </w:tcPr>
          <w:p w:rsidR="00701850" w:rsidRPr="00141497" w:rsidRDefault="00266D51" w:rsidP="00701850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Contenu</w:t>
            </w:r>
            <w:r w:rsidR="00623458"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</w:t>
            </w:r>
            <w:r w:rsidR="00701850"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: </w:t>
            </w:r>
            <w:r w:rsidR="00B32FD9" w:rsidRPr="00141497">
              <w:rPr>
                <w:rStyle w:val="st1"/>
                <w:bCs/>
                <w:lang w:val="fr-CH"/>
              </w:rPr>
              <w:t>réanimation de base (</w:t>
            </w:r>
            <w:r w:rsidR="00701850" w:rsidRPr="00141497">
              <w:rPr>
                <w:rStyle w:val="st1"/>
                <w:rFonts w:ascii="Arial" w:hAnsi="Arial" w:cs="Arial"/>
                <w:bCs/>
                <w:i/>
                <w:sz w:val="20"/>
                <w:szCs w:val="20"/>
                <w:lang w:val="fr-CH"/>
              </w:rPr>
              <w:t>Basic Life Support</w:t>
            </w:r>
            <w:r w:rsidR="00B32FD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) </w:t>
            </w:r>
            <w:r w:rsidR="0070185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: CABD/CPR, </w:t>
            </w:r>
            <w:r w:rsidR="00B32FD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schéma </w:t>
            </w:r>
            <w:r w:rsidR="0070185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ABCD</w:t>
            </w:r>
            <w:r w:rsidR="00B32FD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, utilisation d’un défibrillateur, </w:t>
            </w:r>
            <w:r w:rsidR="008309D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8575F3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position latérale de sécurité,</w:t>
            </w:r>
            <w:r w:rsidR="008309DD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C856F5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saignements</w:t>
            </w:r>
          </w:p>
          <w:p w:rsidR="00701850" w:rsidRPr="00141497" w:rsidRDefault="00701850" w:rsidP="00701850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  <w:p w:rsidR="00BB26FE" w:rsidRPr="00141497" w:rsidRDefault="00623458" w:rsidP="00025803">
            <w:pPr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Remarque </w:t>
            </w:r>
            <w:r w:rsidR="008309DD"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: </w:t>
            </w:r>
            <w:r w:rsidR="00025803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les centres de formation doivent être certifiés </w:t>
            </w:r>
            <w:r w:rsidR="002245C5" w:rsidRPr="00CB50D6">
              <w:rPr>
                <w:rFonts w:ascii="Arial" w:hAnsi="Arial" w:cs="Arial"/>
                <w:sz w:val="20"/>
                <w:szCs w:val="20"/>
                <w:lang w:val="fr-CH"/>
              </w:rPr>
              <w:t>SRC</w:t>
            </w:r>
          </w:p>
        </w:tc>
        <w:tc>
          <w:tcPr>
            <w:tcW w:w="4253" w:type="dxa"/>
          </w:tcPr>
          <w:p w:rsidR="00BB26FE" w:rsidRPr="00141497" w:rsidRDefault="0042787C" w:rsidP="0042787C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Est capable, e</w:t>
            </w:r>
            <w:r w:rsidR="00677C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n cas d’urgence, 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d’apporter les </w:t>
            </w:r>
            <w:r w:rsidR="00677C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premiers secours à des patients </w:t>
            </w:r>
            <w:r w:rsidR="003430A0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se trouvant </w:t>
            </w:r>
            <w:r w:rsidR="00677C6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dans un état critique ou non </w:t>
            </w:r>
          </w:p>
        </w:tc>
        <w:tc>
          <w:tcPr>
            <w:tcW w:w="5528" w:type="dxa"/>
          </w:tcPr>
          <w:p w:rsidR="00BB26FE" w:rsidRPr="00141497" w:rsidRDefault="00A62590" w:rsidP="007E3D2E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- </w:t>
            </w:r>
            <w:r w:rsidR="00895E16" w:rsidRPr="00141497">
              <w:rPr>
                <w:rFonts w:ascii="Arial" w:hAnsi="Arial" w:cs="Arial"/>
                <w:sz w:val="20"/>
                <w:szCs w:val="20"/>
                <w:lang w:val="fr-CH"/>
              </w:rPr>
              <w:t>Sait quel comportement adopter</w:t>
            </w:r>
            <w:r w:rsidR="00E13E88" w:rsidRPr="00141497">
              <w:rPr>
                <w:rFonts w:ascii="Arial" w:hAnsi="Arial" w:cs="Arial"/>
                <w:sz w:val="20"/>
                <w:szCs w:val="20"/>
                <w:lang w:val="fr-CH"/>
              </w:rPr>
              <w:t>,</w:t>
            </w:r>
            <w:r w:rsidR="00895E16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quelle que soit la situation d’urgence. Peut dire si les conditions du patient sont critiques 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>(</w:t>
            </w:r>
            <w:r w:rsidR="00895E16" w:rsidRPr="00141497">
              <w:rPr>
                <w:rFonts w:ascii="Arial" w:hAnsi="Arial" w:cs="Arial"/>
                <w:sz w:val="20"/>
                <w:szCs w:val="20"/>
                <w:lang w:val="fr-CH"/>
              </w:rPr>
              <w:t>danger de mort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) </w:t>
            </w:r>
            <w:r w:rsidR="00895E16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ou non (pas de danger de mort) et </w:t>
            </w:r>
            <w:r w:rsidR="00E13E88" w:rsidRPr="00141497">
              <w:rPr>
                <w:rFonts w:ascii="Arial" w:hAnsi="Arial" w:cs="Arial"/>
                <w:sz w:val="20"/>
                <w:szCs w:val="20"/>
                <w:lang w:val="fr-CH"/>
              </w:rPr>
              <w:t>choisir</w:t>
            </w:r>
            <w:r w:rsidR="00895E16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les premiers secours adaptés à chaque situation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A62590" w:rsidP="007E3D2E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E13E88" w:rsidRPr="00141497">
              <w:rPr>
                <w:rFonts w:ascii="Arial" w:hAnsi="Arial" w:cs="Arial"/>
                <w:sz w:val="20"/>
                <w:szCs w:val="20"/>
                <w:lang w:val="fr-CH"/>
              </w:rPr>
              <w:t>Applique les mesures immédiates pour sauver la vie (défibrillateur compris) en suivant les instructions SRC</w:t>
            </w:r>
          </w:p>
          <w:p w:rsidR="00BB26FE" w:rsidRPr="00141497" w:rsidRDefault="00A62590" w:rsidP="00A62590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ED3B8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Distingue les saignements abondants des saignements simples et </w:t>
            </w:r>
            <w:r w:rsidR="00603456" w:rsidRPr="00141497">
              <w:rPr>
                <w:rFonts w:ascii="Arial" w:hAnsi="Arial" w:cs="Arial"/>
                <w:sz w:val="20"/>
                <w:szCs w:val="20"/>
                <w:lang w:val="fr-CH"/>
              </w:rPr>
              <w:t>s’occupe du</w:t>
            </w:r>
            <w:r w:rsidR="00F82FBF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patient</w:t>
            </w:r>
          </w:p>
          <w:p w:rsidR="00A62590" w:rsidRPr="00141497" w:rsidRDefault="00A62590" w:rsidP="00137FD0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- </w:t>
            </w:r>
            <w:r w:rsidR="00DD1BD4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Reconnaît les patients inconscients et </w:t>
            </w:r>
            <w:r w:rsidR="00137FD0" w:rsidRPr="00141497">
              <w:rPr>
                <w:rFonts w:ascii="Arial" w:hAnsi="Arial" w:cs="Arial"/>
                <w:sz w:val="20"/>
                <w:szCs w:val="20"/>
                <w:lang w:val="fr-CH"/>
              </w:rPr>
              <w:t>les installe confortablement</w:t>
            </w:r>
          </w:p>
        </w:tc>
      </w:tr>
      <w:tr w:rsidR="00BB26FE" w:rsidRPr="00EB0D9B" w:rsidTr="00B3727F">
        <w:tc>
          <w:tcPr>
            <w:tcW w:w="1843" w:type="dxa"/>
          </w:tcPr>
          <w:p w:rsidR="00BB26FE" w:rsidRPr="00141497" w:rsidRDefault="00526044" w:rsidP="006A5388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Connaissances de la branche</w:t>
            </w:r>
          </w:p>
        </w:tc>
        <w:tc>
          <w:tcPr>
            <w:tcW w:w="1559" w:type="dxa"/>
          </w:tcPr>
          <w:p w:rsidR="00BB26FE" w:rsidRPr="00141497" w:rsidRDefault="006A5388" w:rsidP="00526044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1497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5 </w:t>
            </w:r>
            <w:r w:rsidR="00526044" w:rsidRPr="00141497">
              <w:rPr>
                <w:rFonts w:ascii="Arial" w:hAnsi="Arial" w:cs="Arial"/>
                <w:b/>
                <w:sz w:val="18"/>
                <w:szCs w:val="18"/>
                <w:lang w:val="fr-CH"/>
              </w:rPr>
              <w:t>leçons</w:t>
            </w:r>
          </w:p>
        </w:tc>
        <w:tc>
          <w:tcPr>
            <w:tcW w:w="2835" w:type="dxa"/>
          </w:tcPr>
          <w:p w:rsidR="00BB26FE" w:rsidRPr="00141497" w:rsidRDefault="00266D51" w:rsidP="006D7D18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Contenu</w:t>
            </w:r>
            <w:r w:rsidR="002A179E"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</w:t>
            </w:r>
            <w:r w:rsidR="004808B8" w:rsidRPr="00141497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: </w:t>
            </w:r>
            <w:r w:rsidR="005252B0" w:rsidRPr="00141497">
              <w:rPr>
                <w:lang w:val="fr-CH"/>
              </w:rPr>
              <w:t xml:space="preserve">appréciation </w:t>
            </w:r>
            <w:r w:rsidR="009F2A8C" w:rsidRPr="00141497">
              <w:rPr>
                <w:lang w:val="fr-CH"/>
              </w:rPr>
              <w:t xml:space="preserve"> </w:t>
            </w:r>
            <w:r w:rsidR="005252B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précoce du potentiel de risque et</w:t>
            </w:r>
            <w:r w:rsidR="002D1EC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engagement des mesures idoine</w:t>
            </w:r>
            <w:r w:rsidR="00AB414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s</w:t>
            </w:r>
            <w:r w:rsidR="002D1EC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. Réaction </w:t>
            </w:r>
            <w:r w:rsidR="009F2A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2D1EC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adéquate à des événements particuliers </w:t>
            </w:r>
            <w:r w:rsidR="009F2A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(</w:t>
            </w:r>
            <w:r w:rsidR="002D1EC9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incendie, dégâts d’eau, fuite de gaz, évacuation, </w:t>
            </w:r>
            <w:r w:rsidR="00EB0D9B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cambriolage et accidents dans l’ensemble</w:t>
            </w:r>
            <w:r w:rsidR="009F2A8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)</w:t>
            </w:r>
          </w:p>
        </w:tc>
        <w:tc>
          <w:tcPr>
            <w:tcW w:w="4253" w:type="dxa"/>
          </w:tcPr>
          <w:p w:rsidR="00BB26FE" w:rsidRPr="00141497" w:rsidRDefault="00C51620" w:rsidP="00C51620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Est capable d’évaluer les dangers immédiats, se comporte adéquatement, donne les signalements et établit les rapports</w:t>
            </w:r>
          </w:p>
        </w:tc>
        <w:tc>
          <w:tcPr>
            <w:tcW w:w="5528" w:type="dxa"/>
          </w:tcPr>
          <w:p w:rsidR="00553374" w:rsidRPr="00141497" w:rsidRDefault="00553374" w:rsidP="00C97CF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24165D" w:rsidRPr="00141497">
              <w:rPr>
                <w:rFonts w:ascii="Arial" w:hAnsi="Arial" w:cs="Arial"/>
                <w:sz w:val="20"/>
                <w:szCs w:val="20"/>
                <w:lang w:val="fr-CH"/>
              </w:rPr>
              <w:t>Connaît les tâches principales des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137FD0" w:rsidRPr="00141497">
              <w:rPr>
                <w:rFonts w:ascii="Arial" w:hAnsi="Arial" w:cs="Arial"/>
                <w:sz w:val="20"/>
                <w:szCs w:val="20"/>
                <w:lang w:val="fr-CH"/>
              </w:rPr>
              <w:t>organismes d’intervention urgente</w:t>
            </w:r>
            <w:r w:rsidR="00386EC1" w:rsidRPr="00141497">
              <w:rPr>
                <w:rFonts w:ascii="Arial" w:hAnsi="Arial" w:cs="Arial"/>
                <w:sz w:val="20"/>
                <w:szCs w:val="20"/>
                <w:lang w:val="fr-CH"/>
              </w:rPr>
              <w:br/>
            </w: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342B17" w:rsidRPr="00141497">
              <w:rPr>
                <w:rFonts w:ascii="Arial" w:hAnsi="Arial" w:cs="Arial"/>
                <w:sz w:val="20"/>
                <w:szCs w:val="20"/>
                <w:lang w:val="fr-CH"/>
              </w:rPr>
              <w:t>Cite les dangers les plus courants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 </w:t>
            </w:r>
          </w:p>
          <w:p w:rsidR="00BB26FE" w:rsidRPr="00141497" w:rsidRDefault="00553374" w:rsidP="00C97CF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342B17" w:rsidRPr="00141497">
              <w:rPr>
                <w:rFonts w:ascii="Arial" w:hAnsi="Arial" w:cs="Arial"/>
                <w:sz w:val="20"/>
                <w:szCs w:val="20"/>
                <w:lang w:val="fr-CH"/>
              </w:rPr>
              <w:t>Explique quelle est la réaction adéquate aux événements les plus fréquents (</w:t>
            </w:r>
            <w:r w:rsidR="00342B17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incendie, dégâts d’eau, fuite de gaz, évacuation, cambriolage</w:t>
            </w:r>
            <w:r w:rsidR="006D7D18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et accidents dans l’ensemble</w:t>
            </w:r>
            <w:r w:rsidR="00342B17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)</w:t>
            </w:r>
            <w:r w:rsidR="00783A1F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br/>
              <w:t>-</w:t>
            </w:r>
            <w:r w:rsidR="00783A1F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5048A9" w:rsidRPr="00141497">
              <w:rPr>
                <w:rFonts w:ascii="Arial" w:hAnsi="Arial" w:cs="Arial"/>
                <w:sz w:val="20"/>
                <w:szCs w:val="20"/>
                <w:lang w:val="fr-CH"/>
              </w:rPr>
              <w:t>Explicite les critères qui permettent d’évaluer les dangers et les mesures qu’il convient de prendre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553374" w:rsidP="00C97CF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121BFA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Sonne l’alarme sans délai </w:t>
            </w:r>
            <w:r w:rsidR="00652C3D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par </w:t>
            </w:r>
            <w:r w:rsidR="00FC3868" w:rsidRPr="00141497">
              <w:rPr>
                <w:rFonts w:ascii="Arial" w:hAnsi="Arial" w:cs="Arial"/>
                <w:sz w:val="20"/>
                <w:szCs w:val="20"/>
                <w:lang w:val="fr-CH"/>
              </w:rPr>
              <w:t>des</w:t>
            </w:r>
            <w:r w:rsidR="00652C3D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messages </w:t>
            </w:r>
            <w:r w:rsidR="00FC3868" w:rsidRPr="00141497">
              <w:rPr>
                <w:rFonts w:ascii="Arial" w:hAnsi="Arial" w:cs="Arial"/>
                <w:sz w:val="20"/>
                <w:szCs w:val="20"/>
                <w:lang w:val="fr-CH"/>
              </w:rPr>
              <w:t>adaptés et se charge des signalements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</w:p>
          <w:p w:rsidR="00553374" w:rsidRPr="00141497" w:rsidRDefault="00553374" w:rsidP="00C97CF2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>-</w:t>
            </w:r>
            <w:r w:rsidR="00BB26FE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 </w:t>
            </w:r>
            <w:r w:rsidR="00D21F5E" w:rsidRPr="00141497">
              <w:rPr>
                <w:rFonts w:ascii="Arial" w:hAnsi="Arial" w:cs="Arial"/>
                <w:sz w:val="20"/>
                <w:szCs w:val="20"/>
                <w:lang w:val="fr-CH"/>
              </w:rPr>
              <w:t>Se rend compte immédiatement des situations inhabituelles et réagit en conséquence</w:t>
            </w:r>
          </w:p>
          <w:p w:rsidR="00BB26FE" w:rsidRPr="00141497" w:rsidRDefault="00553374" w:rsidP="00CB50D6">
            <w:pPr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- </w:t>
            </w:r>
            <w:r w:rsidR="00935829" w:rsidRPr="00141497">
              <w:rPr>
                <w:rFonts w:ascii="Arial" w:hAnsi="Arial" w:cs="Arial"/>
                <w:sz w:val="20"/>
                <w:szCs w:val="20"/>
                <w:lang w:val="fr-CH"/>
              </w:rPr>
              <w:t xml:space="preserve">Établit des rapports </w:t>
            </w:r>
            <w:r w:rsidR="00CB50D6">
              <w:rPr>
                <w:rFonts w:ascii="Arial" w:hAnsi="Arial" w:cs="Arial"/>
                <w:sz w:val="20"/>
                <w:szCs w:val="20"/>
                <w:lang w:val="fr-CH"/>
              </w:rPr>
              <w:t>pénaux</w:t>
            </w:r>
            <w:r w:rsidR="00935829" w:rsidRPr="00141497">
              <w:rPr>
                <w:rFonts w:ascii="Arial" w:hAnsi="Arial" w:cs="Arial"/>
                <w:sz w:val="20"/>
                <w:szCs w:val="20"/>
                <w:lang w:val="fr-CH"/>
              </w:rPr>
              <w:t>, en prêtant attention à la forme comme au fond (complets, objectifs, lisibles)</w:t>
            </w:r>
          </w:p>
        </w:tc>
      </w:tr>
      <w:tr w:rsidR="00BB26FE" w:rsidRPr="00EB0D9B" w:rsidTr="00B3727F">
        <w:tc>
          <w:tcPr>
            <w:tcW w:w="1843" w:type="dxa"/>
          </w:tcPr>
          <w:p w:rsidR="00BB26FE" w:rsidRPr="00141497" w:rsidRDefault="003B64B4" w:rsidP="003B64B4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Sécurité du travail et autodéfense</w:t>
            </w:r>
          </w:p>
        </w:tc>
        <w:tc>
          <w:tcPr>
            <w:tcW w:w="1559" w:type="dxa"/>
          </w:tcPr>
          <w:p w:rsidR="00BB26FE" w:rsidRPr="00141497" w:rsidRDefault="006A5388" w:rsidP="00604FFD">
            <w:pPr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 xml:space="preserve">2 </w:t>
            </w:r>
            <w:r w:rsidR="00604FFD" w:rsidRPr="00141497">
              <w:rPr>
                <w:rStyle w:val="st1"/>
                <w:rFonts w:ascii="Arial" w:hAnsi="Arial" w:cs="Arial"/>
                <w:b/>
                <w:bCs/>
                <w:sz w:val="18"/>
                <w:szCs w:val="18"/>
                <w:lang w:val="fr-CH"/>
              </w:rPr>
              <w:t>leçons</w:t>
            </w:r>
          </w:p>
        </w:tc>
        <w:tc>
          <w:tcPr>
            <w:tcW w:w="2835" w:type="dxa"/>
          </w:tcPr>
          <w:p w:rsidR="00BB26FE" w:rsidRPr="00141497" w:rsidRDefault="00266D51" w:rsidP="00CB50D6">
            <w:pPr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Contenu</w:t>
            </w:r>
            <w:r w:rsidR="002A179E" w:rsidRPr="00141497">
              <w:rPr>
                <w:rFonts w:ascii="Arial" w:hAnsi="Arial" w:cs="Arial"/>
                <w:b/>
                <w:sz w:val="20"/>
                <w:szCs w:val="20"/>
                <w:lang w:val="fr-CH"/>
              </w:rPr>
              <w:t xml:space="preserve"> </w:t>
            </w:r>
            <w:r w:rsidR="00943366" w:rsidRPr="00141497">
              <w:rPr>
                <w:rStyle w:val="st1"/>
                <w:rFonts w:ascii="Arial" w:hAnsi="Arial" w:cs="Arial"/>
                <w:b/>
                <w:bCs/>
                <w:sz w:val="20"/>
                <w:szCs w:val="20"/>
                <w:lang w:val="fr-CH"/>
              </w:rPr>
              <w:t>:</w:t>
            </w:r>
            <w:r w:rsidR="0094336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C5162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mesures nécessaires pour assurer le service en toute sécurité.</w:t>
            </w:r>
            <w:r w:rsidR="0094336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C5162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Utilisation appropriée des mesures usuelles d’auto</w:t>
            </w:r>
            <w:r w:rsidR="00CB50D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défense</w:t>
            </w:r>
          </w:p>
        </w:tc>
        <w:tc>
          <w:tcPr>
            <w:tcW w:w="4253" w:type="dxa"/>
          </w:tcPr>
          <w:p w:rsidR="00BB26FE" w:rsidRPr="00141497" w:rsidRDefault="001135A3" w:rsidP="00CB50D6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Applique les mesures usuelles d’auto</w:t>
            </w:r>
            <w:r w:rsidR="00CB50D6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défense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, les mesures de sécurité sur son poste de travail et les mesures pour protéger sa santé</w:t>
            </w:r>
          </w:p>
        </w:tc>
        <w:tc>
          <w:tcPr>
            <w:tcW w:w="5528" w:type="dxa"/>
          </w:tcPr>
          <w:p w:rsidR="00BB26FE" w:rsidRPr="00141497" w:rsidRDefault="00BB26FE" w:rsidP="00F80015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</w:t>
            </w:r>
            <w:r w:rsidR="00586770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Liste</w:t>
            </w:r>
            <w:r w:rsidR="00E505FF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tous les équipements à disposition pour assurer la sécurité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</w:p>
          <w:p w:rsidR="00BB26FE" w:rsidRPr="00141497" w:rsidRDefault="00BB26FE" w:rsidP="00120BD7">
            <w:pPr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</w:pP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</w:t>
            </w:r>
            <w:r w:rsidR="00705B1C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Cite les mesures courantes </w:t>
            </w:r>
            <w:r w:rsidR="00110366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pour remplir sa fonction en toute sécurité. Explique comment mettre en œuvre ces mesures</w:t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</w:t>
            </w:r>
            <w:r w:rsidR="00386EC1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br/>
            </w:r>
            <w:r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* </w:t>
            </w:r>
            <w:r w:rsidR="00EA6272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Cite les mesures usuelles d’aut</w:t>
            </w:r>
            <w:r w:rsidR="00120BD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>odéfense</w:t>
            </w:r>
            <w:r w:rsidR="00EA6272" w:rsidRPr="00141497">
              <w:rPr>
                <w:rStyle w:val="st1"/>
                <w:rFonts w:ascii="Arial" w:hAnsi="Arial" w:cs="Arial"/>
                <w:bCs/>
                <w:sz w:val="20"/>
                <w:szCs w:val="20"/>
                <w:lang w:val="fr-CH"/>
              </w:rPr>
              <w:t xml:space="preserve"> et explique dans quelles situations les mettre en œuvre</w:t>
            </w:r>
          </w:p>
        </w:tc>
      </w:tr>
    </w:tbl>
    <w:p w:rsidR="00F258EF" w:rsidRPr="00141497" w:rsidRDefault="00F258EF" w:rsidP="00F258EF">
      <w:pPr>
        <w:rPr>
          <w:rFonts w:ascii="Arial" w:hAnsi="Arial" w:cs="Arial"/>
          <w:sz w:val="20"/>
          <w:szCs w:val="20"/>
          <w:lang w:val="fr-CH"/>
        </w:rPr>
      </w:pPr>
    </w:p>
    <w:sectPr w:rsidR="00F258EF" w:rsidRPr="00141497" w:rsidSect="008C7819">
      <w:pgSz w:w="16838" w:h="11906" w:orient="landscape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24F34"/>
    <w:multiLevelType w:val="hybridMultilevel"/>
    <w:tmpl w:val="A6DE3C2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1F24"/>
    <w:multiLevelType w:val="hybridMultilevel"/>
    <w:tmpl w:val="A206655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3B25"/>
    <w:multiLevelType w:val="hybridMultilevel"/>
    <w:tmpl w:val="7078349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6148D"/>
    <w:multiLevelType w:val="hybridMultilevel"/>
    <w:tmpl w:val="692E6CEC"/>
    <w:lvl w:ilvl="0" w:tplc="379E0E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EF"/>
    <w:rsid w:val="00025803"/>
    <w:rsid w:val="000356E7"/>
    <w:rsid w:val="00043330"/>
    <w:rsid w:val="000547A2"/>
    <w:rsid w:val="00055664"/>
    <w:rsid w:val="00064B12"/>
    <w:rsid w:val="0006550F"/>
    <w:rsid w:val="0007248A"/>
    <w:rsid w:val="00074512"/>
    <w:rsid w:val="0009057A"/>
    <w:rsid w:val="000A27C3"/>
    <w:rsid w:val="000B037B"/>
    <w:rsid w:val="000B1EF5"/>
    <w:rsid w:val="000B6A3C"/>
    <w:rsid w:val="000D1CF9"/>
    <w:rsid w:val="000E01B1"/>
    <w:rsid w:val="00107D64"/>
    <w:rsid w:val="00110366"/>
    <w:rsid w:val="001135A3"/>
    <w:rsid w:val="001158AB"/>
    <w:rsid w:val="00117281"/>
    <w:rsid w:val="00120BD7"/>
    <w:rsid w:val="00121BFA"/>
    <w:rsid w:val="00133B1B"/>
    <w:rsid w:val="001360FB"/>
    <w:rsid w:val="00137FD0"/>
    <w:rsid w:val="00141497"/>
    <w:rsid w:val="0014399A"/>
    <w:rsid w:val="0016103E"/>
    <w:rsid w:val="00186ED5"/>
    <w:rsid w:val="00194595"/>
    <w:rsid w:val="0019649A"/>
    <w:rsid w:val="001A0EA7"/>
    <w:rsid w:val="001B13D4"/>
    <w:rsid w:val="001C5969"/>
    <w:rsid w:val="001D6B8F"/>
    <w:rsid w:val="001E6D6C"/>
    <w:rsid w:val="001F3FE5"/>
    <w:rsid w:val="00205D9D"/>
    <w:rsid w:val="002078CD"/>
    <w:rsid w:val="00215FD6"/>
    <w:rsid w:val="002245C5"/>
    <w:rsid w:val="002274B4"/>
    <w:rsid w:val="002362E6"/>
    <w:rsid w:val="00240506"/>
    <w:rsid w:val="0024165D"/>
    <w:rsid w:val="0025361A"/>
    <w:rsid w:val="00266D51"/>
    <w:rsid w:val="0027278D"/>
    <w:rsid w:val="00283FB3"/>
    <w:rsid w:val="00286545"/>
    <w:rsid w:val="00286AE4"/>
    <w:rsid w:val="002A179E"/>
    <w:rsid w:val="002A5E25"/>
    <w:rsid w:val="002A71CC"/>
    <w:rsid w:val="002B187C"/>
    <w:rsid w:val="002B6E25"/>
    <w:rsid w:val="002D1EC9"/>
    <w:rsid w:val="002D4EC1"/>
    <w:rsid w:val="003048DD"/>
    <w:rsid w:val="00310654"/>
    <w:rsid w:val="00317D1B"/>
    <w:rsid w:val="00342B17"/>
    <w:rsid w:val="00342F2B"/>
    <w:rsid w:val="003430A0"/>
    <w:rsid w:val="00354D58"/>
    <w:rsid w:val="003852C3"/>
    <w:rsid w:val="00386EC1"/>
    <w:rsid w:val="00390248"/>
    <w:rsid w:val="00397567"/>
    <w:rsid w:val="0039768A"/>
    <w:rsid w:val="003A1EEA"/>
    <w:rsid w:val="003B25D1"/>
    <w:rsid w:val="003B64B4"/>
    <w:rsid w:val="003D3592"/>
    <w:rsid w:val="003E4CC4"/>
    <w:rsid w:val="003F14A5"/>
    <w:rsid w:val="003F2F15"/>
    <w:rsid w:val="0040252B"/>
    <w:rsid w:val="00404109"/>
    <w:rsid w:val="0041288C"/>
    <w:rsid w:val="00425F8D"/>
    <w:rsid w:val="0042787C"/>
    <w:rsid w:val="004309FC"/>
    <w:rsid w:val="0043205A"/>
    <w:rsid w:val="00435754"/>
    <w:rsid w:val="00453800"/>
    <w:rsid w:val="00460A1A"/>
    <w:rsid w:val="00476AB1"/>
    <w:rsid w:val="004808B8"/>
    <w:rsid w:val="00496CA6"/>
    <w:rsid w:val="004A39C0"/>
    <w:rsid w:val="004A7C0B"/>
    <w:rsid w:val="004B0925"/>
    <w:rsid w:val="004C0B79"/>
    <w:rsid w:val="004C4E7C"/>
    <w:rsid w:val="004D5794"/>
    <w:rsid w:val="004E0D1E"/>
    <w:rsid w:val="005048A9"/>
    <w:rsid w:val="00512184"/>
    <w:rsid w:val="00516ED9"/>
    <w:rsid w:val="005229F6"/>
    <w:rsid w:val="005252B0"/>
    <w:rsid w:val="00526044"/>
    <w:rsid w:val="005300A2"/>
    <w:rsid w:val="00553374"/>
    <w:rsid w:val="00553A16"/>
    <w:rsid w:val="0055621F"/>
    <w:rsid w:val="00586770"/>
    <w:rsid w:val="005B515A"/>
    <w:rsid w:val="005C2A16"/>
    <w:rsid w:val="005E571A"/>
    <w:rsid w:val="005E6D1F"/>
    <w:rsid w:val="005F5BBF"/>
    <w:rsid w:val="00603456"/>
    <w:rsid w:val="00604FFD"/>
    <w:rsid w:val="00620567"/>
    <w:rsid w:val="00621064"/>
    <w:rsid w:val="00623458"/>
    <w:rsid w:val="00623A49"/>
    <w:rsid w:val="0062685A"/>
    <w:rsid w:val="00637E53"/>
    <w:rsid w:val="00652C3D"/>
    <w:rsid w:val="00672A6D"/>
    <w:rsid w:val="00674719"/>
    <w:rsid w:val="00675C56"/>
    <w:rsid w:val="00677C6C"/>
    <w:rsid w:val="00686BBE"/>
    <w:rsid w:val="00691609"/>
    <w:rsid w:val="006A117D"/>
    <w:rsid w:val="006A5388"/>
    <w:rsid w:val="006B4C41"/>
    <w:rsid w:val="006D7D18"/>
    <w:rsid w:val="006E4F97"/>
    <w:rsid w:val="006F2D84"/>
    <w:rsid w:val="00701850"/>
    <w:rsid w:val="00705B1C"/>
    <w:rsid w:val="007206A8"/>
    <w:rsid w:val="00723EA8"/>
    <w:rsid w:val="007511C2"/>
    <w:rsid w:val="0078074F"/>
    <w:rsid w:val="00783A1F"/>
    <w:rsid w:val="007B7064"/>
    <w:rsid w:val="007D1432"/>
    <w:rsid w:val="007D27BB"/>
    <w:rsid w:val="007E3D2E"/>
    <w:rsid w:val="007E480E"/>
    <w:rsid w:val="007F2A7D"/>
    <w:rsid w:val="008038EE"/>
    <w:rsid w:val="00806BEB"/>
    <w:rsid w:val="00814F1A"/>
    <w:rsid w:val="00816FFB"/>
    <w:rsid w:val="00823272"/>
    <w:rsid w:val="008309DD"/>
    <w:rsid w:val="008370D5"/>
    <w:rsid w:val="0084116A"/>
    <w:rsid w:val="0084341C"/>
    <w:rsid w:val="008575F3"/>
    <w:rsid w:val="00870FB5"/>
    <w:rsid w:val="00874D8C"/>
    <w:rsid w:val="00875096"/>
    <w:rsid w:val="008828BB"/>
    <w:rsid w:val="00890271"/>
    <w:rsid w:val="00891B0B"/>
    <w:rsid w:val="008943F8"/>
    <w:rsid w:val="00895E16"/>
    <w:rsid w:val="008B7E0B"/>
    <w:rsid w:val="008C7819"/>
    <w:rsid w:val="008D37FB"/>
    <w:rsid w:val="00900ED3"/>
    <w:rsid w:val="00901BF4"/>
    <w:rsid w:val="00911170"/>
    <w:rsid w:val="009157FD"/>
    <w:rsid w:val="0093295F"/>
    <w:rsid w:val="00935829"/>
    <w:rsid w:val="00943366"/>
    <w:rsid w:val="00943872"/>
    <w:rsid w:val="0096191E"/>
    <w:rsid w:val="009623CF"/>
    <w:rsid w:val="009633AD"/>
    <w:rsid w:val="00965FA1"/>
    <w:rsid w:val="00974F0B"/>
    <w:rsid w:val="00984028"/>
    <w:rsid w:val="009B6238"/>
    <w:rsid w:val="009C10B1"/>
    <w:rsid w:val="009C4642"/>
    <w:rsid w:val="009C6A7E"/>
    <w:rsid w:val="009D179C"/>
    <w:rsid w:val="009F2A8C"/>
    <w:rsid w:val="00A10191"/>
    <w:rsid w:val="00A354C5"/>
    <w:rsid w:val="00A62590"/>
    <w:rsid w:val="00A63D19"/>
    <w:rsid w:val="00A7613C"/>
    <w:rsid w:val="00A85739"/>
    <w:rsid w:val="00A90F79"/>
    <w:rsid w:val="00A93BCD"/>
    <w:rsid w:val="00A9543A"/>
    <w:rsid w:val="00AA2550"/>
    <w:rsid w:val="00AB272D"/>
    <w:rsid w:val="00AB4147"/>
    <w:rsid w:val="00AC526E"/>
    <w:rsid w:val="00AC5664"/>
    <w:rsid w:val="00AD1D25"/>
    <w:rsid w:val="00AD798F"/>
    <w:rsid w:val="00AE5389"/>
    <w:rsid w:val="00AF080D"/>
    <w:rsid w:val="00B04B9B"/>
    <w:rsid w:val="00B05D0B"/>
    <w:rsid w:val="00B161A9"/>
    <w:rsid w:val="00B30BAF"/>
    <w:rsid w:val="00B32FD9"/>
    <w:rsid w:val="00B331B1"/>
    <w:rsid w:val="00B3727F"/>
    <w:rsid w:val="00B46054"/>
    <w:rsid w:val="00B64259"/>
    <w:rsid w:val="00B75E16"/>
    <w:rsid w:val="00B963BB"/>
    <w:rsid w:val="00BB16F7"/>
    <w:rsid w:val="00BB26FE"/>
    <w:rsid w:val="00BB6D3B"/>
    <w:rsid w:val="00BE0AE3"/>
    <w:rsid w:val="00BE4481"/>
    <w:rsid w:val="00BE7046"/>
    <w:rsid w:val="00BF0115"/>
    <w:rsid w:val="00C46770"/>
    <w:rsid w:val="00C47FDE"/>
    <w:rsid w:val="00C51620"/>
    <w:rsid w:val="00C55043"/>
    <w:rsid w:val="00C84621"/>
    <w:rsid w:val="00C856F5"/>
    <w:rsid w:val="00C8672B"/>
    <w:rsid w:val="00C97CF2"/>
    <w:rsid w:val="00CA7177"/>
    <w:rsid w:val="00CB50D6"/>
    <w:rsid w:val="00CB5D10"/>
    <w:rsid w:val="00CB60B3"/>
    <w:rsid w:val="00CC2680"/>
    <w:rsid w:val="00CF53CF"/>
    <w:rsid w:val="00D1139E"/>
    <w:rsid w:val="00D14CA0"/>
    <w:rsid w:val="00D206F7"/>
    <w:rsid w:val="00D21F5E"/>
    <w:rsid w:val="00D255B9"/>
    <w:rsid w:val="00D25EB2"/>
    <w:rsid w:val="00D4557F"/>
    <w:rsid w:val="00D651EE"/>
    <w:rsid w:val="00D725D6"/>
    <w:rsid w:val="00D77653"/>
    <w:rsid w:val="00D80D59"/>
    <w:rsid w:val="00D83829"/>
    <w:rsid w:val="00D85645"/>
    <w:rsid w:val="00D91894"/>
    <w:rsid w:val="00DC7684"/>
    <w:rsid w:val="00DD1BD4"/>
    <w:rsid w:val="00DF5439"/>
    <w:rsid w:val="00E05279"/>
    <w:rsid w:val="00E134C1"/>
    <w:rsid w:val="00E13E88"/>
    <w:rsid w:val="00E17207"/>
    <w:rsid w:val="00E3551A"/>
    <w:rsid w:val="00E40528"/>
    <w:rsid w:val="00E505FF"/>
    <w:rsid w:val="00E72A2C"/>
    <w:rsid w:val="00E72E54"/>
    <w:rsid w:val="00E733FC"/>
    <w:rsid w:val="00E97D4B"/>
    <w:rsid w:val="00EA6272"/>
    <w:rsid w:val="00EB0D9B"/>
    <w:rsid w:val="00EC5A45"/>
    <w:rsid w:val="00ED3B8E"/>
    <w:rsid w:val="00EE0809"/>
    <w:rsid w:val="00EE5B2A"/>
    <w:rsid w:val="00EE617C"/>
    <w:rsid w:val="00EF1F8B"/>
    <w:rsid w:val="00F05068"/>
    <w:rsid w:val="00F12BF2"/>
    <w:rsid w:val="00F214A8"/>
    <w:rsid w:val="00F21ED1"/>
    <w:rsid w:val="00F258EF"/>
    <w:rsid w:val="00F264ED"/>
    <w:rsid w:val="00F34C8D"/>
    <w:rsid w:val="00F63E64"/>
    <w:rsid w:val="00F703A1"/>
    <w:rsid w:val="00F80015"/>
    <w:rsid w:val="00F82FBF"/>
    <w:rsid w:val="00F92B52"/>
    <w:rsid w:val="00FB799E"/>
    <w:rsid w:val="00FC0DC8"/>
    <w:rsid w:val="00FC3868"/>
    <w:rsid w:val="00FC6C66"/>
    <w:rsid w:val="00FD391C"/>
    <w:rsid w:val="00FD558F"/>
    <w:rsid w:val="00FD768D"/>
    <w:rsid w:val="00FE12B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F7B58D"/>
  <w15:docId w15:val="{5D546EAE-141D-4337-A8DF-AC204822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D57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1">
    <w:name w:val="st1"/>
    <w:basedOn w:val="Absatz-Standardschriftart"/>
    <w:rsid w:val="00F258EF"/>
  </w:style>
  <w:style w:type="table" w:styleId="Tabellenraster">
    <w:name w:val="Table Grid"/>
    <w:basedOn w:val="NormaleTabelle"/>
    <w:uiPriority w:val="59"/>
    <w:rsid w:val="00F25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258E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A2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90F7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433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33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33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33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33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C0D22-6206-4F64-861D-6C591CB6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1082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Polizei Kanton Solothurn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Riniker</dc:creator>
  <cp:lastModifiedBy>Roberto Zalunardo</cp:lastModifiedBy>
  <cp:revision>2</cp:revision>
  <cp:lastPrinted>2016-06-29T15:38:00Z</cp:lastPrinted>
  <dcterms:created xsi:type="dcterms:W3CDTF">2017-08-18T08:43:00Z</dcterms:created>
  <dcterms:modified xsi:type="dcterms:W3CDTF">2017-08-18T08:43:00Z</dcterms:modified>
</cp:coreProperties>
</file>