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96" w:rsidRDefault="00467792" w:rsidP="00B65E96">
      <w:pPr>
        <w:pStyle w:val="Beschriftung"/>
        <w:rPr>
          <w:b w:val="0"/>
        </w:rPr>
      </w:pPr>
      <w:bookmarkStart w:id="0" w:name="Betr"/>
      <w:bookmarkEnd w:id="0"/>
      <w:r>
        <w:rPr>
          <w:noProof/>
        </w:rPr>
        <w:pict>
          <v:group id="_x0000_s1045" style="position:absolute;margin-left:-27pt;margin-top:-45pt;width:513pt;height:84pt;z-index:-251658752" coordorigin="877,637" coordsize="10260,1680">
            <v:group id="_x0000_s1037" editas="canvas" style="position:absolute;left:877;top:637;width:1638;height:1680" coordorigin="2205,3750" coordsize="2194,2250" wrapcoords="-198 0 0 10221 3963 12343 5549 12343 5945 21407 16051 21407 15655 12343 17439 12343 21600 10221 21402 0 -198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205;top:3750;width:2194;height:2250" o:preferrelative="f">
                <v:fill o:detectmouseclick="t"/>
                <v:path o:extrusionok="t" o:connecttype="none"/>
                <o:lock v:ext="edit" text="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3442;top:4175;width:935;height:226;v-text-anchor:middle" fillcolor="black" stroked="f" strokecolor="#4680a8" strokeweight="2pt">
                <v:fill color2="#203b4e" rotate="t"/>
                <v:shadow color="#868686"/>
                <v:textpath style="font-family:&quot;Trebuchet MS&quot;;v-text-kern:t" trim="t" fitpath="t" string="KKJPD"/>
                <o:lock v:ext="edit" aspectratio="t"/>
              </v:shape>
              <v:shape id="_x0000_s1028" type="#_x0000_t75" style="position:absolute;left:3399;top:3750;width:958;height:371" fillcolor="#bbe0e3">
                <v:imagedata r:id="rId8" o:title=""/>
              </v:shape>
              <v:shape id="_x0000_s1029" type="#_x0000_t75" style="position:absolute;left:3442;top:4458;width:957;height:371" fillcolor="#bbe0e3">
                <v:imagedata r:id="rId9" o:title=""/>
              </v:shape>
              <v:shape id="_x0000_s1030" type="#_x0000_t136" style="position:absolute;left:2247;top:4175;width:940;height:226;v-text-anchor:middle" fillcolor="black" stroked="f" strokecolor="#4680a8" strokeweight="2pt">
                <v:fill color2="#203b4e" rotate="t"/>
                <v:shadow color="#868686"/>
                <v:textpath style="font-family:&quot;Trebuchet MS&quot;;v-text-kern:t" trim="t" fitpath="t" string="CCDJP"/>
                <o:lock v:ext="edit" aspectratio="t"/>
              </v:shape>
              <v:shape id="_x0000_s1031" type="#_x0000_t75" style="position:absolute;left:2205;top:3750;width:957;height:371" fillcolor="#bbe0e3">
                <v:imagedata r:id="rId8" o:title=""/>
              </v:shape>
              <v:shape id="_x0000_s1032" type="#_x0000_t75" style="position:absolute;left:2247;top:4458;width:958;height:371" fillcolor="#bbe0e3">
                <v:imagedata r:id="rId9" o:title=""/>
              </v:shape>
              <v:shape id="_x0000_s1033" type="#_x0000_t136" style="position:absolute;left:2858;top:5346;width:940;height:226;v-text-anchor:middle" fillcolor="black" stroked="f" strokecolor="#4680a8" strokeweight="2pt">
                <v:fill color2="#203b4e" rotate="t"/>
                <v:shadow color="#868686"/>
                <v:textpath style="font-family:&quot;Trebuchet MS&quot;;v-text-kern:t" trim="t" fitpath="t" string="CDDGP"/>
                <o:lock v:ext="edit" aspectratio="t"/>
              </v:shape>
              <v:shape id="_x0000_s1034" type="#_x0000_t75" style="position:absolute;left:2816;top:4921;width:958;height:371" fillcolor="#bbe0e3">
                <v:imagedata r:id="rId8" o:title=""/>
              </v:shape>
              <v:shape id="_x0000_s1035" type="#_x0000_t75" style="position:absolute;left:2858;top:5629;width:958;height:371" fillcolor="#bbe0e3">
                <v:imagedata r:id="rId9" o:title=""/>
              </v:shape>
            </v:group>
            <v:shapetype id="_x0000_t202" coordsize="21600,21600" o:spt="202" path="m,l,21600r21600,l21600,xe">
              <v:stroke joinstyle="miter"/>
              <v:path gradientshapeok="t" o:connecttype="rect"/>
            </v:shapetype>
            <v:shape id="_x0000_s1044" type="#_x0000_t202" style="position:absolute;left:2857;top:877;width:8280;height:1260" wrapcoords="0 0 21600 0 21600 21600 0 21600 0 0" filled="f" stroked="f">
              <v:textbox style="mso-next-textbox:#_x0000_s1044">
                <w:txbxContent>
                  <w:p w:rsidR="00090655" w:rsidRDefault="00090655" w:rsidP="008B6F24">
                    <w:pPr>
                      <w:rPr>
                        <w:rFonts w:ascii="Trebuchet MS" w:hAnsi="Trebuchet MS"/>
                        <w:sz w:val="16"/>
                        <w:szCs w:val="16"/>
                      </w:rPr>
                    </w:pPr>
                    <w:r>
                      <w:rPr>
                        <w:rFonts w:ascii="Trebuchet MS" w:hAnsi="Trebuchet MS"/>
                        <w:sz w:val="16"/>
                        <w:szCs w:val="16"/>
                      </w:rPr>
                      <w:t>KONFERENZ</w:t>
                    </w:r>
                    <w:r w:rsidRPr="008B6F24">
                      <w:rPr>
                        <w:rFonts w:ascii="Trebuchet MS" w:hAnsi="Trebuchet MS"/>
                        <w:sz w:val="16"/>
                        <w:szCs w:val="16"/>
                      </w:rPr>
                      <w:t xml:space="preserve"> </w:t>
                    </w:r>
                    <w:r w:rsidRPr="00157571">
                      <w:rPr>
                        <w:rFonts w:ascii="Trebuchet MS" w:hAnsi="Trebuchet MS"/>
                        <w:sz w:val="16"/>
                        <w:szCs w:val="16"/>
                      </w:rPr>
                      <w:t>DER KANTONALEN JUSTIZ- UND POLIZEIDIREKTORINNEN UND –DIREKTOREN</w:t>
                    </w:r>
                  </w:p>
                  <w:p w:rsidR="00090655" w:rsidRDefault="00090655" w:rsidP="008B6F24">
                    <w:pPr>
                      <w:rPr>
                        <w:rFonts w:ascii="Trebuchet MS" w:hAnsi="Trebuchet MS"/>
                        <w:sz w:val="16"/>
                        <w:szCs w:val="16"/>
                      </w:rPr>
                    </w:pPr>
                    <w:r>
                      <w:rPr>
                        <w:rFonts w:ascii="Trebuchet MS" w:hAnsi="Trebuchet MS"/>
                        <w:sz w:val="16"/>
                        <w:szCs w:val="16"/>
                      </w:rPr>
                      <w:br/>
                      <w:t>CONFERENCE</w:t>
                    </w:r>
                    <w:r w:rsidRPr="008B6F24">
                      <w:rPr>
                        <w:rFonts w:ascii="Trebuchet MS" w:hAnsi="Trebuchet MS"/>
                        <w:sz w:val="16"/>
                        <w:szCs w:val="16"/>
                      </w:rPr>
                      <w:t xml:space="preserve"> DES DIRECTRICES ET DIRECTEURS DES DEPARTEMENTS CANTONAUX DE JUSTICE ET POLICE</w:t>
                    </w:r>
                  </w:p>
                  <w:p w:rsidR="00090655" w:rsidRPr="008B6F24" w:rsidRDefault="00090655" w:rsidP="008B6F24">
                    <w:pPr>
                      <w:rPr>
                        <w:rFonts w:ascii="Trebuchet MS" w:hAnsi="Trebuchet MS"/>
                        <w:sz w:val="16"/>
                        <w:szCs w:val="16"/>
                      </w:rPr>
                    </w:pPr>
                    <w:r>
                      <w:rPr>
                        <w:rFonts w:ascii="Trebuchet MS" w:hAnsi="Trebuchet MS"/>
                        <w:sz w:val="16"/>
                        <w:szCs w:val="16"/>
                      </w:rPr>
                      <w:br/>
                      <w:t>CONFERENZA</w:t>
                    </w:r>
                    <w:r w:rsidRPr="008B6F24">
                      <w:rPr>
                        <w:rFonts w:ascii="Trebuchet MS" w:hAnsi="Trebuchet MS"/>
                        <w:sz w:val="16"/>
                        <w:szCs w:val="16"/>
                      </w:rPr>
                      <w:t xml:space="preserve"> </w:t>
                    </w:r>
                    <w:r w:rsidRPr="00157571">
                      <w:rPr>
                        <w:rFonts w:ascii="Trebuchet MS" w:hAnsi="Trebuchet MS"/>
                        <w:sz w:val="16"/>
                        <w:szCs w:val="16"/>
                      </w:rPr>
                      <w:t>DELLE DIRETTRICI E DEI DIRETTORI DEI DIPARTIMENTI CANTONALI DI GIUSTIZIA E POLIZIA</w:t>
                    </w:r>
                    <w:r>
                      <w:rPr>
                        <w:rFonts w:ascii="Trebuchet MS" w:hAnsi="Trebuchet MS"/>
                        <w:sz w:val="16"/>
                        <w:szCs w:val="16"/>
                      </w:rPr>
                      <w:br/>
                    </w:r>
                  </w:p>
                </w:txbxContent>
              </v:textbox>
            </v:shape>
          </v:group>
        </w:pict>
      </w:r>
      <w:r w:rsidR="00B65E96">
        <w:fldChar w:fldCharType="begin"/>
      </w:r>
      <w:r w:rsidR="00B65E96">
        <w:instrText xml:space="preserve">  </w:instrText>
      </w:r>
      <w:r w:rsidR="00B65E96">
        <w:rPr>
          <w:b w:val="0"/>
        </w:rPr>
        <w:fldChar w:fldCharType="end"/>
      </w:r>
    </w:p>
    <w:p w:rsidR="00B65E96" w:rsidRDefault="00B65E96" w:rsidP="00B65E96">
      <w:pPr>
        <w:rPr>
          <w:i/>
        </w:rPr>
      </w:pPr>
      <w:r>
        <w:rPr>
          <w:i/>
        </w:rPr>
        <w:fldChar w:fldCharType="begin"/>
      </w:r>
      <w:r>
        <w:rPr>
          <w:i/>
        </w:rPr>
        <w:instrText xml:space="preserve">  </w:instrText>
      </w:r>
      <w:r>
        <w:rPr>
          <w:i/>
        </w:rPr>
        <w:fldChar w:fldCharType="end"/>
      </w:r>
    </w:p>
    <w:p w:rsidR="00B65E96" w:rsidRDefault="00B65E96" w:rsidP="00B65E96"/>
    <w:p w:rsidR="00B65E96" w:rsidRDefault="00B65E96" w:rsidP="00B65E96">
      <w:pPr>
        <w:rPr>
          <w:b/>
          <w:bCs/>
        </w:rPr>
      </w:pPr>
    </w:p>
    <w:p w:rsidR="00B65E96" w:rsidRDefault="00B65E96" w:rsidP="00B65E96"/>
    <w:p w:rsidR="00896081" w:rsidRPr="0021241D" w:rsidRDefault="00896081" w:rsidP="00896081">
      <w:pPr>
        <w:rPr>
          <w:b/>
          <w:sz w:val="28"/>
          <w:szCs w:val="28"/>
        </w:rPr>
      </w:pPr>
      <w:r w:rsidRPr="0021241D">
        <w:rPr>
          <w:b/>
          <w:sz w:val="28"/>
          <w:szCs w:val="28"/>
        </w:rPr>
        <w:t xml:space="preserve">Erläuterungen zum Konkordat vom </w:t>
      </w:r>
      <w:r w:rsidR="00090655">
        <w:rPr>
          <w:b/>
          <w:sz w:val="28"/>
          <w:szCs w:val="28"/>
        </w:rPr>
        <w:t xml:space="preserve">12. November </w:t>
      </w:r>
      <w:r w:rsidR="001221E4">
        <w:rPr>
          <w:b/>
          <w:sz w:val="28"/>
          <w:szCs w:val="28"/>
        </w:rPr>
        <w:t>2010</w:t>
      </w:r>
      <w:r w:rsidRPr="0021241D">
        <w:rPr>
          <w:b/>
          <w:sz w:val="28"/>
          <w:szCs w:val="28"/>
        </w:rPr>
        <w:br/>
        <w:t xml:space="preserve">über </w:t>
      </w:r>
      <w:r w:rsidR="00E073D1" w:rsidRPr="00E073D1">
        <w:rPr>
          <w:b/>
          <w:bCs/>
          <w:sz w:val="28"/>
          <w:szCs w:val="28"/>
        </w:rPr>
        <w:t>private Sicherheitsdienstleistungen</w:t>
      </w:r>
    </w:p>
    <w:p w:rsidR="00896081" w:rsidRDefault="00896081" w:rsidP="00896081">
      <w:pPr>
        <w:rPr>
          <w:i/>
        </w:rPr>
      </w:pPr>
    </w:p>
    <w:p w:rsidR="00896081" w:rsidRDefault="00896081" w:rsidP="00896081">
      <w:pPr>
        <w:rPr>
          <w:i/>
        </w:rPr>
      </w:pPr>
    </w:p>
    <w:p w:rsidR="00896081" w:rsidRPr="0036250C" w:rsidRDefault="009D17BD" w:rsidP="00896081">
      <w:pPr>
        <w:numPr>
          <w:ilvl w:val="0"/>
          <w:numId w:val="6"/>
        </w:numPr>
        <w:rPr>
          <w:b/>
        </w:rPr>
      </w:pPr>
      <w:r>
        <w:rPr>
          <w:b/>
        </w:rPr>
        <w:t>Rechtliche Rahmenbedingungen</w:t>
      </w:r>
    </w:p>
    <w:p w:rsidR="00896081" w:rsidRDefault="00896081" w:rsidP="00896081">
      <w:pPr>
        <w:rPr>
          <w:i/>
        </w:rPr>
      </w:pPr>
    </w:p>
    <w:p w:rsidR="00896081" w:rsidRPr="00DD0EBE" w:rsidRDefault="00896081" w:rsidP="00896081">
      <w:pPr>
        <w:rPr>
          <w:i/>
        </w:rPr>
      </w:pPr>
      <w:r>
        <w:rPr>
          <w:i/>
        </w:rPr>
        <w:t>I.1</w:t>
      </w:r>
      <w:r>
        <w:rPr>
          <w:i/>
        </w:rPr>
        <w:tab/>
        <w:t>Rechtslage</w:t>
      </w:r>
      <w:r w:rsidRPr="00DD0EBE">
        <w:rPr>
          <w:i/>
        </w:rPr>
        <w:t xml:space="preserve"> bezüglich des Freizügigkeitsabkommens Schweiz/EU</w:t>
      </w:r>
    </w:p>
    <w:p w:rsidR="00896081" w:rsidRDefault="00896081" w:rsidP="00896081"/>
    <w:p w:rsidR="00896081" w:rsidRPr="00DD0EBE" w:rsidRDefault="00896081" w:rsidP="00896081">
      <w:pPr>
        <w:rPr>
          <w:lang w:val="de-DE"/>
        </w:rPr>
      </w:pPr>
      <w:r w:rsidRPr="00DD0EBE">
        <w:rPr>
          <w:lang w:val="de-DE"/>
        </w:rPr>
        <w:t xml:space="preserve">Grundsätzlich </w:t>
      </w:r>
      <w:r w:rsidRPr="00DD0EBE">
        <w:rPr>
          <w:bCs/>
          <w:lang w:val="de-DE"/>
        </w:rPr>
        <w:t>fallen</w:t>
      </w:r>
      <w:r w:rsidRPr="00DD0EBE">
        <w:rPr>
          <w:lang w:val="de-DE"/>
        </w:rPr>
        <w:t xml:space="preserve"> Staatsangehörige der </w:t>
      </w:r>
      <w:r>
        <w:rPr>
          <w:lang w:val="de-DE"/>
        </w:rPr>
        <w:t xml:space="preserve">15 „alten“ </w:t>
      </w:r>
      <w:r w:rsidRPr="00DD0EBE">
        <w:rPr>
          <w:lang w:val="de-DE"/>
        </w:rPr>
        <w:t>EU</w:t>
      </w:r>
      <w:r>
        <w:rPr>
          <w:lang w:val="de-DE"/>
        </w:rPr>
        <w:t>-Staaten</w:t>
      </w:r>
      <w:r w:rsidRPr="00DD0EBE">
        <w:rPr>
          <w:lang w:val="de-DE"/>
        </w:rPr>
        <w:t xml:space="preserve">, die als Arbeitnehmer, Selbständige oder Entsandte im Sicherheitsbereich in der Schweiz tätig werden, </w:t>
      </w:r>
      <w:r w:rsidRPr="00DD0EBE">
        <w:rPr>
          <w:bCs/>
          <w:lang w:val="de-DE"/>
        </w:rPr>
        <w:t>in den A</w:t>
      </w:r>
      <w:r w:rsidRPr="00DD0EBE">
        <w:rPr>
          <w:bCs/>
          <w:lang w:val="de-DE"/>
        </w:rPr>
        <w:t>n</w:t>
      </w:r>
      <w:r w:rsidRPr="00DD0EBE">
        <w:rPr>
          <w:bCs/>
          <w:lang w:val="de-DE"/>
        </w:rPr>
        <w:t xml:space="preserve">wendungsbereich des Freizügigkeitsabkommens </w:t>
      </w:r>
      <w:r w:rsidRPr="00DD0EBE">
        <w:rPr>
          <w:lang w:val="de-DE"/>
        </w:rPr>
        <w:t xml:space="preserve">(FZA, </w:t>
      </w:r>
      <w:hyperlink r:id="rId10" w:history="1">
        <w:r w:rsidRPr="00896081">
          <w:rPr>
            <w:rStyle w:val="Hyperlink"/>
            <w:color w:val="auto"/>
            <w:u w:val="none"/>
          </w:rPr>
          <w:t>SR 0</w:t>
        </w:r>
        <w:r w:rsidRPr="00896081">
          <w:rPr>
            <w:rStyle w:val="Hyperlink"/>
            <w:color w:val="auto"/>
            <w:u w:val="none"/>
          </w:rPr>
          <w:t>.</w:t>
        </w:r>
        <w:r w:rsidRPr="00896081">
          <w:rPr>
            <w:rStyle w:val="Hyperlink"/>
            <w:color w:val="auto"/>
            <w:u w:val="none"/>
          </w:rPr>
          <w:t>1</w:t>
        </w:r>
        <w:r w:rsidRPr="00896081">
          <w:rPr>
            <w:rStyle w:val="Hyperlink"/>
            <w:color w:val="auto"/>
            <w:u w:val="none"/>
          </w:rPr>
          <w:t>42.112.681</w:t>
        </w:r>
      </w:hyperlink>
      <w:r w:rsidRPr="00896081">
        <w:rPr>
          <w:lang w:val="de-DE"/>
        </w:rPr>
        <w:t>)</w:t>
      </w:r>
      <w:r w:rsidRPr="00DD0EBE">
        <w:rPr>
          <w:lang w:val="de-DE"/>
        </w:rPr>
        <w:t>. Dies</w:t>
      </w:r>
      <w:r>
        <w:rPr>
          <w:lang w:val="de-DE"/>
        </w:rPr>
        <w:t>es</w:t>
      </w:r>
      <w:r w:rsidRPr="00DD0EBE">
        <w:rPr>
          <w:lang w:val="de-DE"/>
        </w:rPr>
        <w:t xml:space="preserve"> gilt </w:t>
      </w:r>
      <w:r w:rsidRPr="00DD0EBE">
        <w:rPr>
          <w:bCs/>
          <w:lang w:val="de-DE"/>
        </w:rPr>
        <w:t xml:space="preserve">auch für Staatsangehörige der </w:t>
      </w:r>
      <w:r w:rsidR="009D17BD">
        <w:rPr>
          <w:bCs/>
          <w:lang w:val="de-DE"/>
        </w:rPr>
        <w:t xml:space="preserve">2004 und 2007 beigetretenen </w:t>
      </w:r>
      <w:r w:rsidRPr="00DD0EBE">
        <w:rPr>
          <w:bCs/>
          <w:lang w:val="de-DE"/>
        </w:rPr>
        <w:t>EU-Mitgliedstaaten</w:t>
      </w:r>
      <w:r w:rsidR="009D17BD">
        <w:rPr>
          <w:bCs/>
          <w:lang w:val="de-DE"/>
        </w:rPr>
        <w:t xml:space="preserve"> (EU-10 sowie Rumänien und Bulgarien)</w:t>
      </w:r>
      <w:r w:rsidRPr="00DD0EBE">
        <w:rPr>
          <w:bCs/>
          <w:lang w:val="de-DE"/>
        </w:rPr>
        <w:t>.</w:t>
      </w:r>
      <w:r w:rsidRPr="00DD0EBE">
        <w:rPr>
          <w:lang w:val="de-DE"/>
        </w:rPr>
        <w:t xml:space="preserve"> Entsprechend kommen </w:t>
      </w:r>
      <w:r>
        <w:rPr>
          <w:lang w:val="de-DE"/>
        </w:rPr>
        <w:t>s</w:t>
      </w:r>
      <w:r w:rsidRPr="00DD0EBE">
        <w:rPr>
          <w:lang w:val="de-DE"/>
        </w:rPr>
        <w:t>ie in den Genuss des im FZA enthalt</w:t>
      </w:r>
      <w:r w:rsidRPr="00DD0EBE">
        <w:rPr>
          <w:lang w:val="de-DE"/>
        </w:rPr>
        <w:t>e</w:t>
      </w:r>
      <w:r w:rsidRPr="00DD0EBE">
        <w:rPr>
          <w:lang w:val="de-DE"/>
        </w:rPr>
        <w:t xml:space="preserve">nen </w:t>
      </w:r>
      <w:r>
        <w:rPr>
          <w:bCs/>
          <w:lang w:val="de-DE"/>
        </w:rPr>
        <w:t>Diskriminierungsverbots</w:t>
      </w:r>
      <w:r w:rsidRPr="00DD0EBE">
        <w:rPr>
          <w:bCs/>
          <w:lang w:val="de-DE"/>
        </w:rPr>
        <w:t xml:space="preserve"> </w:t>
      </w:r>
      <w:r>
        <w:rPr>
          <w:bCs/>
          <w:lang w:val="de-DE"/>
        </w:rPr>
        <w:t>der A</w:t>
      </w:r>
      <w:r w:rsidRPr="00DD0EBE">
        <w:rPr>
          <w:lang w:val="de-DE"/>
        </w:rPr>
        <w:t>rt</w:t>
      </w:r>
      <w:r>
        <w:rPr>
          <w:lang w:val="de-DE"/>
        </w:rPr>
        <w:t>ikel</w:t>
      </w:r>
      <w:r w:rsidRPr="00DD0EBE">
        <w:rPr>
          <w:lang w:val="de-DE"/>
        </w:rPr>
        <w:t xml:space="preserve"> 2 FZA, Art. 9 Anhang I sowie Art. 19 A</w:t>
      </w:r>
      <w:r w:rsidRPr="00DD0EBE">
        <w:rPr>
          <w:lang w:val="de-DE"/>
        </w:rPr>
        <w:t>n</w:t>
      </w:r>
      <w:r w:rsidRPr="00DD0EBE">
        <w:rPr>
          <w:lang w:val="de-DE"/>
        </w:rPr>
        <w:t xml:space="preserve">hang I FZA. </w:t>
      </w:r>
      <w:r w:rsidRPr="00DD0EBE">
        <w:rPr>
          <w:bCs/>
          <w:lang w:val="de-DE"/>
        </w:rPr>
        <w:t>Bedingungen</w:t>
      </w:r>
      <w:r w:rsidRPr="00DD0EBE">
        <w:rPr>
          <w:lang w:val="de-DE"/>
        </w:rPr>
        <w:t xml:space="preserve">, wie sie im </w:t>
      </w:r>
      <w:r>
        <w:rPr>
          <w:lang w:val="de-DE"/>
        </w:rPr>
        <w:t>W</w:t>
      </w:r>
      <w:r w:rsidRPr="00DD0EBE">
        <w:rPr>
          <w:lang w:val="de-DE"/>
        </w:rPr>
        <w:t xml:space="preserve">estschweizer Konkordat </w:t>
      </w:r>
      <w:r w:rsidR="00EF1794">
        <w:rPr>
          <w:lang w:val="de-DE"/>
        </w:rPr>
        <w:t>über die Sicherheitsunte</w:t>
      </w:r>
      <w:r w:rsidR="00EF1794">
        <w:rPr>
          <w:lang w:val="de-DE"/>
        </w:rPr>
        <w:t>r</w:t>
      </w:r>
      <w:r w:rsidR="00EF1794">
        <w:rPr>
          <w:lang w:val="de-DE"/>
        </w:rPr>
        <w:t xml:space="preserve">nehmen </w:t>
      </w:r>
      <w:r w:rsidR="00C147FF">
        <w:rPr>
          <w:lang w:val="de-DE"/>
        </w:rPr>
        <w:t>vom 18. Oktober 1996</w:t>
      </w:r>
      <w:r w:rsidR="00090655">
        <w:rPr>
          <w:lang w:val="de-DE"/>
        </w:rPr>
        <w:t>, im Konkordat der KKJPD über private Sicherheitsdienstleistungen vom 12. November 2010</w:t>
      </w:r>
      <w:r w:rsidR="00C147FF">
        <w:rPr>
          <w:lang w:val="de-DE"/>
        </w:rPr>
        <w:t xml:space="preserve"> </w:t>
      </w:r>
      <w:r w:rsidRPr="00DD0EBE">
        <w:rPr>
          <w:lang w:val="de-DE"/>
        </w:rPr>
        <w:t>oder in de</w:t>
      </w:r>
      <w:r>
        <w:rPr>
          <w:lang w:val="de-DE"/>
        </w:rPr>
        <w:t>n</w:t>
      </w:r>
      <w:r w:rsidRPr="00DD0EBE">
        <w:rPr>
          <w:lang w:val="de-DE"/>
        </w:rPr>
        <w:t xml:space="preserve"> Musterbestimmungen </w:t>
      </w:r>
      <w:r w:rsidR="00EF1794">
        <w:rPr>
          <w:lang w:val="de-DE"/>
        </w:rPr>
        <w:t>KKPKS</w:t>
      </w:r>
      <w:r w:rsidR="005B71E4">
        <w:rPr>
          <w:rStyle w:val="Funotenzeichen"/>
          <w:lang w:val="de-DE"/>
        </w:rPr>
        <w:footnoteReference w:id="1"/>
      </w:r>
      <w:r w:rsidR="00C147FF">
        <w:rPr>
          <w:lang w:val="de-DE"/>
        </w:rPr>
        <w:t>/VSSU</w:t>
      </w:r>
      <w:r w:rsidR="005B71E4">
        <w:rPr>
          <w:rStyle w:val="Funotenzeichen"/>
          <w:lang w:val="de-DE"/>
        </w:rPr>
        <w:footnoteReference w:id="2"/>
      </w:r>
      <w:r w:rsidR="00EF1794">
        <w:rPr>
          <w:lang w:val="de-DE"/>
        </w:rPr>
        <w:t xml:space="preserve"> </w:t>
      </w:r>
      <w:r w:rsidRPr="00DD0EBE">
        <w:rPr>
          <w:lang w:val="de-DE"/>
        </w:rPr>
        <w:t xml:space="preserve">genannt werden, </w:t>
      </w:r>
      <w:r>
        <w:rPr>
          <w:lang w:val="de-DE"/>
        </w:rPr>
        <w:t>sind</w:t>
      </w:r>
      <w:r w:rsidRPr="00DD0EBE">
        <w:rPr>
          <w:lang w:val="de-DE"/>
        </w:rPr>
        <w:t xml:space="preserve"> </w:t>
      </w:r>
      <w:r>
        <w:rPr>
          <w:lang w:val="de-DE"/>
        </w:rPr>
        <w:t>weiterhin</w:t>
      </w:r>
      <w:r w:rsidRPr="00DD0EBE">
        <w:rPr>
          <w:lang w:val="de-DE"/>
        </w:rPr>
        <w:t xml:space="preserve"> </w:t>
      </w:r>
      <w:r w:rsidRPr="00DD0EBE">
        <w:rPr>
          <w:bCs/>
          <w:lang w:val="de-DE"/>
        </w:rPr>
        <w:t xml:space="preserve">erlaubt, sofern </w:t>
      </w:r>
      <w:r>
        <w:rPr>
          <w:bCs/>
          <w:lang w:val="de-DE"/>
        </w:rPr>
        <w:t xml:space="preserve">sie in gleichem Mass </w:t>
      </w:r>
      <w:r w:rsidRPr="00DD0EBE">
        <w:rPr>
          <w:bCs/>
          <w:lang w:val="de-DE"/>
        </w:rPr>
        <w:t>für Staatsangehörige</w:t>
      </w:r>
      <w:r>
        <w:rPr>
          <w:bCs/>
          <w:lang w:val="de-DE"/>
        </w:rPr>
        <w:t xml:space="preserve"> und </w:t>
      </w:r>
      <w:r w:rsidRPr="00DD0EBE">
        <w:rPr>
          <w:bCs/>
          <w:lang w:val="de-DE"/>
        </w:rPr>
        <w:t xml:space="preserve">Unternehmen </w:t>
      </w:r>
      <w:r>
        <w:rPr>
          <w:bCs/>
          <w:lang w:val="de-DE"/>
        </w:rPr>
        <w:t xml:space="preserve">aus der Schweiz und aus der EU </w:t>
      </w:r>
      <w:r w:rsidRPr="00DD0EBE">
        <w:rPr>
          <w:bCs/>
          <w:lang w:val="de-DE"/>
        </w:rPr>
        <w:t>ge</w:t>
      </w:r>
      <w:r w:rsidRPr="00DD0EBE">
        <w:rPr>
          <w:bCs/>
          <w:lang w:val="de-DE"/>
        </w:rPr>
        <w:t>l</w:t>
      </w:r>
      <w:r w:rsidRPr="00DD0EBE">
        <w:rPr>
          <w:bCs/>
          <w:lang w:val="de-DE"/>
        </w:rPr>
        <w:t>ten.</w:t>
      </w:r>
    </w:p>
    <w:p w:rsidR="00896081" w:rsidRDefault="00896081" w:rsidP="00896081">
      <w:pPr>
        <w:rPr>
          <w:lang w:val="de-DE"/>
        </w:rPr>
      </w:pPr>
    </w:p>
    <w:p w:rsidR="00896081" w:rsidRPr="00FC36FC" w:rsidRDefault="00896081" w:rsidP="00896081">
      <w:pPr>
        <w:rPr>
          <w:lang w:val="de-DE"/>
        </w:rPr>
      </w:pPr>
      <w:r w:rsidRPr="00FC36FC">
        <w:rPr>
          <w:lang w:val="de-DE"/>
        </w:rPr>
        <w:t xml:space="preserve">Sowohl das FZA als auch das Protokoll </w:t>
      </w:r>
      <w:r w:rsidR="0021241D">
        <w:rPr>
          <w:lang w:val="de-DE"/>
        </w:rPr>
        <w:t xml:space="preserve">dazu </w:t>
      </w:r>
      <w:r w:rsidRPr="00FC36FC">
        <w:rPr>
          <w:lang w:val="de-DE"/>
        </w:rPr>
        <w:t>sehen das Recht der grenzüberschreitenden Dienstleistungserbringung bis 90 Tage pro Jahr vor. Während diese Dienstleistungserbri</w:t>
      </w:r>
      <w:r w:rsidRPr="00FC36FC">
        <w:rPr>
          <w:lang w:val="de-DE"/>
        </w:rPr>
        <w:t>n</w:t>
      </w:r>
      <w:r w:rsidRPr="00FC36FC">
        <w:rPr>
          <w:lang w:val="de-DE"/>
        </w:rPr>
        <w:t>gung gegenüber de</w:t>
      </w:r>
      <w:r w:rsidR="0021241D">
        <w:rPr>
          <w:lang w:val="de-DE"/>
        </w:rPr>
        <w:t>n alten 15</w:t>
      </w:r>
      <w:r w:rsidRPr="00FC36FC">
        <w:rPr>
          <w:lang w:val="de-DE"/>
        </w:rPr>
        <w:t xml:space="preserve"> EU-</w:t>
      </w:r>
      <w:r w:rsidR="0021241D">
        <w:rPr>
          <w:lang w:val="de-DE"/>
        </w:rPr>
        <w:t>Staaten</w:t>
      </w:r>
      <w:r w:rsidRPr="00FC36FC">
        <w:rPr>
          <w:lang w:val="de-DE"/>
        </w:rPr>
        <w:t xml:space="preserve"> seit 1. Juni 2004 generell nur noch an eine Me</w:t>
      </w:r>
      <w:r w:rsidRPr="00FC36FC">
        <w:rPr>
          <w:lang w:val="de-DE"/>
        </w:rPr>
        <w:t>l</w:t>
      </w:r>
      <w:r w:rsidRPr="00FC36FC">
        <w:rPr>
          <w:lang w:val="de-DE"/>
        </w:rPr>
        <w:t>depflicht gebunden ist, g</w:t>
      </w:r>
      <w:r>
        <w:rPr>
          <w:lang w:val="de-DE"/>
        </w:rPr>
        <w:t>ilt</w:t>
      </w:r>
      <w:r w:rsidRPr="00FC36FC">
        <w:rPr>
          <w:lang w:val="de-DE"/>
        </w:rPr>
        <w:t xml:space="preserve"> </w:t>
      </w:r>
      <w:r>
        <w:rPr>
          <w:lang w:val="de-DE"/>
        </w:rPr>
        <w:t>in</w:t>
      </w:r>
      <w:r w:rsidRPr="00FC36FC">
        <w:rPr>
          <w:lang w:val="de-DE"/>
        </w:rPr>
        <w:t xml:space="preserve"> Bezug auf die </w:t>
      </w:r>
      <w:r w:rsidRPr="00FC36FC">
        <w:rPr>
          <w:bCs/>
          <w:lang w:val="de-DE"/>
        </w:rPr>
        <w:t>neuen EU-Mitgliedstaaten</w:t>
      </w:r>
      <w:r w:rsidRPr="00FC36FC">
        <w:rPr>
          <w:lang w:val="de-DE"/>
        </w:rPr>
        <w:t xml:space="preserve"> (ausser Zypern und Malta) für </w:t>
      </w:r>
      <w:r w:rsidR="0021241D">
        <w:rPr>
          <w:lang w:val="de-DE"/>
        </w:rPr>
        <w:t>vier</w:t>
      </w:r>
      <w:r w:rsidRPr="00FC36FC">
        <w:rPr>
          <w:lang w:val="de-DE"/>
        </w:rPr>
        <w:t xml:space="preserve"> Branchen </w:t>
      </w:r>
      <w:r>
        <w:rPr>
          <w:lang w:val="de-DE"/>
        </w:rPr>
        <w:t>(</w:t>
      </w:r>
      <w:r w:rsidRPr="00FC36FC">
        <w:rPr>
          <w:lang w:val="de-DE"/>
        </w:rPr>
        <w:t>Bauhaupt- und Nebengewerbe, Gartenbau, Reinigungs-</w:t>
      </w:r>
      <w:r>
        <w:rPr>
          <w:lang w:val="de-DE"/>
        </w:rPr>
        <w:t xml:space="preserve"> </w:t>
      </w:r>
      <w:r w:rsidRPr="00FC36FC">
        <w:rPr>
          <w:lang w:val="de-DE"/>
        </w:rPr>
        <w:t xml:space="preserve">sowie </w:t>
      </w:r>
      <w:r w:rsidRPr="00FC36FC">
        <w:rPr>
          <w:bCs/>
          <w:lang w:val="de-DE"/>
        </w:rPr>
        <w:t>Schutz- und Sicherheitsgewerbe</w:t>
      </w:r>
      <w:r>
        <w:rPr>
          <w:bCs/>
          <w:lang w:val="de-DE"/>
        </w:rPr>
        <w:t>)</w:t>
      </w:r>
      <w:r w:rsidRPr="00FC36FC">
        <w:rPr>
          <w:lang w:val="de-DE"/>
        </w:rPr>
        <w:t xml:space="preserve"> bis </w:t>
      </w:r>
      <w:r>
        <w:rPr>
          <w:lang w:val="de-DE"/>
        </w:rPr>
        <w:t xml:space="preserve">längstens am </w:t>
      </w:r>
      <w:r w:rsidRPr="00FC36FC">
        <w:rPr>
          <w:lang w:val="de-DE"/>
        </w:rPr>
        <w:t>30. April 2011 der Vorbehalt des Inlä</w:t>
      </w:r>
      <w:r w:rsidRPr="00FC36FC">
        <w:rPr>
          <w:lang w:val="de-DE"/>
        </w:rPr>
        <w:t>n</w:t>
      </w:r>
      <w:r w:rsidRPr="00FC36FC">
        <w:rPr>
          <w:lang w:val="de-DE"/>
        </w:rPr>
        <w:t>dervorrangs und der vorgängigen Kontrolle der Lohn- und Arbeitsbedingungen. Zudem können für die</w:t>
      </w:r>
      <w:r>
        <w:rPr>
          <w:lang w:val="de-DE"/>
        </w:rPr>
        <w:t>se</w:t>
      </w:r>
      <w:r w:rsidRPr="00FC36FC">
        <w:rPr>
          <w:lang w:val="de-DE"/>
        </w:rPr>
        <w:t xml:space="preserve"> </w:t>
      </w:r>
      <w:r w:rsidR="0021241D">
        <w:rPr>
          <w:lang w:val="de-DE"/>
        </w:rPr>
        <w:t>vier</w:t>
      </w:r>
      <w:r w:rsidRPr="00FC36FC">
        <w:rPr>
          <w:lang w:val="de-DE"/>
        </w:rPr>
        <w:t xml:space="preserve"> Branchen die bisherigen Qualifikationsvoraussetzungen von Art. 8 der Verordnung über die Begrenzung der Zahl der Ausländer (BVO; </w:t>
      </w:r>
      <w:hyperlink r:id="rId11" w:history="1">
        <w:r w:rsidRPr="00896081">
          <w:rPr>
            <w:rStyle w:val="Hyperlink"/>
            <w:color w:val="auto"/>
            <w:u w:val="none"/>
            <w:lang w:val="de-DE"/>
          </w:rPr>
          <w:t>SR 823.21</w:t>
        </w:r>
      </w:hyperlink>
      <w:r w:rsidRPr="00FC36FC">
        <w:rPr>
          <w:lang w:val="de-DE"/>
        </w:rPr>
        <w:t>) aufrecht</w:t>
      </w:r>
      <w:r>
        <w:rPr>
          <w:lang w:val="de-DE"/>
        </w:rPr>
        <w:t xml:space="preserve"> </w:t>
      </w:r>
      <w:r w:rsidRPr="00FC36FC">
        <w:rPr>
          <w:lang w:val="de-DE"/>
        </w:rPr>
        <w:t>erha</w:t>
      </w:r>
      <w:r w:rsidRPr="00FC36FC">
        <w:rPr>
          <w:lang w:val="de-DE"/>
        </w:rPr>
        <w:t>l</w:t>
      </w:r>
      <w:r w:rsidRPr="00FC36FC">
        <w:rPr>
          <w:lang w:val="de-DE"/>
        </w:rPr>
        <w:t xml:space="preserve">ten werden. Dienstleistungserbringer </w:t>
      </w:r>
      <w:r w:rsidR="0021241D">
        <w:rPr>
          <w:lang w:val="de-DE"/>
        </w:rPr>
        <w:t xml:space="preserve">der genannten </w:t>
      </w:r>
      <w:r w:rsidRPr="00FC36FC">
        <w:rPr>
          <w:lang w:val="de-DE"/>
        </w:rPr>
        <w:t xml:space="preserve">Branchen unterstehen deshalb </w:t>
      </w:r>
      <w:r w:rsidRPr="00FC36FC">
        <w:rPr>
          <w:bCs/>
          <w:lang w:val="de-DE"/>
        </w:rPr>
        <w:t>vorlä</w:t>
      </w:r>
      <w:r w:rsidRPr="00FC36FC">
        <w:rPr>
          <w:bCs/>
          <w:lang w:val="de-DE"/>
        </w:rPr>
        <w:t>u</w:t>
      </w:r>
      <w:r w:rsidRPr="00FC36FC">
        <w:rPr>
          <w:bCs/>
          <w:lang w:val="de-DE"/>
        </w:rPr>
        <w:t>fig weiterhin der Bewilligungspflicht</w:t>
      </w:r>
      <w:r w:rsidRPr="00FC36FC">
        <w:rPr>
          <w:lang w:val="de-DE"/>
        </w:rPr>
        <w:t xml:space="preserve"> </w:t>
      </w:r>
      <w:r>
        <w:rPr>
          <w:lang w:val="de-DE"/>
        </w:rPr>
        <w:t>und nicht einer</w:t>
      </w:r>
      <w:r w:rsidRPr="00FC36FC">
        <w:rPr>
          <w:lang w:val="de-DE"/>
        </w:rPr>
        <w:t xml:space="preserve"> blosse</w:t>
      </w:r>
      <w:r>
        <w:rPr>
          <w:lang w:val="de-DE"/>
        </w:rPr>
        <w:t>n</w:t>
      </w:r>
      <w:r w:rsidRPr="00FC36FC">
        <w:rPr>
          <w:lang w:val="de-DE"/>
        </w:rPr>
        <w:t xml:space="preserve"> Meld</w:t>
      </w:r>
      <w:r w:rsidRPr="00FC36FC">
        <w:rPr>
          <w:lang w:val="de-DE"/>
        </w:rPr>
        <w:t>e</w:t>
      </w:r>
      <w:r w:rsidRPr="00FC36FC">
        <w:rPr>
          <w:lang w:val="de-DE"/>
        </w:rPr>
        <w:t>pflicht.</w:t>
      </w:r>
    </w:p>
    <w:p w:rsidR="00896081" w:rsidRPr="00371BA8" w:rsidRDefault="00896081" w:rsidP="00896081">
      <w:pPr>
        <w:rPr>
          <w:lang w:val="de-DE"/>
        </w:rPr>
      </w:pPr>
    </w:p>
    <w:p w:rsidR="00896081" w:rsidRPr="00371BA8" w:rsidRDefault="00896081" w:rsidP="00896081">
      <w:pPr>
        <w:rPr>
          <w:lang w:val="de-DE"/>
        </w:rPr>
      </w:pPr>
      <w:r w:rsidRPr="00371BA8">
        <w:rPr>
          <w:lang w:val="de-DE"/>
        </w:rPr>
        <w:t xml:space="preserve">Detaillierte Informationen finden </w:t>
      </w:r>
      <w:r>
        <w:rPr>
          <w:lang w:val="de-DE"/>
        </w:rPr>
        <w:t>sich</w:t>
      </w:r>
      <w:r w:rsidRPr="00371BA8">
        <w:rPr>
          <w:lang w:val="de-DE"/>
        </w:rPr>
        <w:t xml:space="preserve"> in den Weisungen des Bundesamtes für Migration</w:t>
      </w:r>
      <w:r>
        <w:rPr>
          <w:lang w:val="de-DE"/>
        </w:rPr>
        <w:t>.</w:t>
      </w:r>
    </w:p>
    <w:p w:rsidR="00896081" w:rsidRPr="00371BA8" w:rsidRDefault="00896081" w:rsidP="00896081">
      <w:pPr>
        <w:rPr>
          <w:lang w:val="de-DE"/>
        </w:rPr>
      </w:pPr>
    </w:p>
    <w:p w:rsidR="00896081" w:rsidRDefault="00896081" w:rsidP="00896081"/>
    <w:p w:rsidR="00896081" w:rsidRPr="0098781A" w:rsidRDefault="00896081" w:rsidP="00896081">
      <w:pPr>
        <w:rPr>
          <w:i/>
        </w:rPr>
      </w:pPr>
      <w:r w:rsidRPr="0098781A">
        <w:rPr>
          <w:i/>
        </w:rPr>
        <w:t>I.</w:t>
      </w:r>
      <w:r>
        <w:rPr>
          <w:i/>
        </w:rPr>
        <w:t>2</w:t>
      </w:r>
      <w:r w:rsidR="0036250C">
        <w:rPr>
          <w:i/>
        </w:rPr>
        <w:tab/>
      </w:r>
      <w:r w:rsidRPr="0098781A">
        <w:rPr>
          <w:i/>
        </w:rPr>
        <w:t>Rechtslage bezüglich Binnenmarktgesetz</w:t>
      </w:r>
    </w:p>
    <w:p w:rsidR="00896081" w:rsidRDefault="00896081" w:rsidP="00896081"/>
    <w:p w:rsidR="00896081" w:rsidRDefault="00896081" w:rsidP="00896081">
      <w:r w:rsidRPr="0076757A">
        <w:t>Das Binnenmarktgesetz (BGBM;</w:t>
      </w:r>
      <w:r w:rsidRPr="00896081">
        <w:t xml:space="preserve"> </w:t>
      </w:r>
      <w:hyperlink r:id="rId12" w:history="1">
        <w:r w:rsidRPr="00896081">
          <w:rPr>
            <w:rStyle w:val="Hyperlink"/>
            <w:color w:val="auto"/>
            <w:u w:val="none"/>
          </w:rPr>
          <w:t>SR 943.02</w:t>
        </w:r>
      </w:hyperlink>
      <w:r w:rsidRPr="0076757A">
        <w:t xml:space="preserve">) </w:t>
      </w:r>
      <w:r w:rsidR="00D151DA">
        <w:t>bewirkt, dass Sicherheitsunternehmen, die in einem Kanton zugelassen sind, ihre Dienstleistungen grundsätzlich ohne weiteres Bewill</w:t>
      </w:r>
      <w:r w:rsidR="00D151DA">
        <w:t>i</w:t>
      </w:r>
      <w:r w:rsidR="00D151DA">
        <w:t>gungsverfahren auch in allen andern Kantonen erbringen dürfen. Dies gilt selbst dann, wenn die erste Zulassung in einem Kanton erfolgt, in dem keine Bewilligung erforder</w:t>
      </w:r>
      <w:r w:rsidR="008761AA">
        <w:t>lich ist.</w:t>
      </w:r>
    </w:p>
    <w:p w:rsidR="008761AA" w:rsidRDefault="008761AA" w:rsidP="00896081"/>
    <w:p w:rsidR="008761AA" w:rsidRDefault="00D151DA" w:rsidP="00896081">
      <w:r>
        <w:t>Eignungskriterien wie Fachausweise, Hundeführerkurse oder andere Ausbildungsnachwe</w:t>
      </w:r>
      <w:r>
        <w:t>i</w:t>
      </w:r>
      <w:r>
        <w:t>se</w:t>
      </w:r>
      <w:r w:rsidRPr="00D151DA">
        <w:t>, welche sich auf die eigentliche praktische Tätigkeit beziehen</w:t>
      </w:r>
      <w:r>
        <w:t>, dürfen deshalb nicht ve</w:t>
      </w:r>
      <w:r>
        <w:t>r</w:t>
      </w:r>
      <w:r>
        <w:t>langt werden, wenn eine Firma bereits in einem andern Kanton tätig ist</w:t>
      </w:r>
      <w:r w:rsidRPr="00D151DA">
        <w:t>.</w:t>
      </w:r>
    </w:p>
    <w:p w:rsidR="008761AA" w:rsidRDefault="008761AA" w:rsidP="00896081"/>
    <w:p w:rsidR="005B71E4" w:rsidRDefault="003A755D" w:rsidP="00896081">
      <w:r>
        <w:t>Nur K</w:t>
      </w:r>
      <w:r w:rsidR="00896081" w:rsidRPr="003A755D">
        <w:t>riterien, welche persönliche Eigenschaften, Versicherungsfragen oder theor</w:t>
      </w:r>
      <w:r w:rsidR="00896081" w:rsidRPr="003A755D">
        <w:t>e</w:t>
      </w:r>
      <w:r w:rsidR="00896081" w:rsidRPr="003A755D">
        <w:t>tisches Wissen betreffen</w:t>
      </w:r>
      <w:r>
        <w:t>, dürfen von jedem Kanton grundsätzlich neu geprüft werden</w:t>
      </w:r>
      <w:r w:rsidR="00896081" w:rsidRPr="003A755D">
        <w:t>.</w:t>
      </w:r>
      <w:r>
        <w:t xml:space="preserve"> </w:t>
      </w:r>
      <w:r w:rsidR="00896081">
        <w:t>Darunter fa</w:t>
      </w:r>
      <w:r w:rsidR="00896081">
        <w:t>l</w:t>
      </w:r>
      <w:r w:rsidR="00896081">
        <w:lastRenderedPageBreak/>
        <w:t xml:space="preserve">len beispielsweise </w:t>
      </w:r>
      <w:r>
        <w:t>der Aufenthaltsstatus</w:t>
      </w:r>
      <w:r w:rsidR="00896081">
        <w:t xml:space="preserve">, </w:t>
      </w:r>
      <w:r>
        <w:t xml:space="preserve">die </w:t>
      </w:r>
      <w:r w:rsidR="00896081">
        <w:t>Handlungs</w:t>
      </w:r>
      <w:r>
        <w:t xml:space="preserve">- und </w:t>
      </w:r>
      <w:r w:rsidR="00896081">
        <w:t xml:space="preserve">Zahlungsfähigkeit, </w:t>
      </w:r>
      <w:r>
        <w:t>der</w:t>
      </w:r>
      <w:r w:rsidR="00896081">
        <w:t xml:space="preserve"> Le</w:t>
      </w:r>
      <w:r w:rsidR="00896081">
        <w:t>u</w:t>
      </w:r>
      <w:r w:rsidR="00896081">
        <w:t xml:space="preserve">mund, </w:t>
      </w:r>
      <w:r>
        <w:t xml:space="preserve">die </w:t>
      </w:r>
      <w:r w:rsidR="00896081">
        <w:t xml:space="preserve">persönliche Eignung, </w:t>
      </w:r>
      <w:r>
        <w:t xml:space="preserve">der </w:t>
      </w:r>
      <w:r w:rsidR="00896081" w:rsidRPr="00DD7109">
        <w:t>Abschluss einer Haftpflichtversicherung</w:t>
      </w:r>
      <w:r>
        <w:t xml:space="preserve"> oder die </w:t>
      </w:r>
      <w:r w:rsidR="00896081" w:rsidRPr="000D6C5F">
        <w:t>Kenntnisse des anwendbaren Rechts</w:t>
      </w:r>
      <w:r w:rsidR="00896081">
        <w:t>.</w:t>
      </w:r>
      <w:r>
        <w:t xml:space="preserve"> Hier kann der</w:t>
      </w:r>
      <w:r w:rsidR="0021241D">
        <w:t xml:space="preserve"> </w:t>
      </w:r>
      <w:r>
        <w:t xml:space="preserve">Zielkanton überprüfen, </w:t>
      </w:r>
      <w:r w:rsidR="00896081">
        <w:t xml:space="preserve">ob die im </w:t>
      </w:r>
      <w:r w:rsidR="00896081" w:rsidRPr="0076757A">
        <w:t>He</w:t>
      </w:r>
      <w:r w:rsidR="00896081" w:rsidRPr="0076757A">
        <w:t>r</w:t>
      </w:r>
      <w:r w:rsidR="00896081" w:rsidRPr="0076757A">
        <w:t xml:space="preserve">kunftskanton </w:t>
      </w:r>
      <w:r w:rsidR="00896081">
        <w:t>erbrachten Nachweise jenen des Zielkantons entsprechen. Allenfalls muss das Sicherheitsunterne</w:t>
      </w:r>
      <w:r w:rsidR="00896081">
        <w:t>h</w:t>
      </w:r>
      <w:r w:rsidR="00896081">
        <w:t xml:space="preserve">men </w:t>
      </w:r>
      <w:r w:rsidR="00896081" w:rsidRPr="0076757A">
        <w:t xml:space="preserve">die Erfüllung </w:t>
      </w:r>
      <w:r w:rsidR="00896081">
        <w:t xml:space="preserve">der Kriterien </w:t>
      </w:r>
      <w:r>
        <w:t xml:space="preserve">des Zielkantons </w:t>
      </w:r>
      <w:r w:rsidR="00896081">
        <w:t>nachweisen.</w:t>
      </w:r>
    </w:p>
    <w:p w:rsidR="005B71E4" w:rsidRDefault="005B71E4" w:rsidP="00896081"/>
    <w:p w:rsidR="008761AA" w:rsidRDefault="008761AA" w:rsidP="00896081"/>
    <w:p w:rsidR="00DF5EF1" w:rsidRDefault="00464999" w:rsidP="00896081">
      <w:pPr>
        <w:rPr>
          <w:i/>
        </w:rPr>
      </w:pPr>
      <w:r>
        <w:rPr>
          <w:i/>
        </w:rPr>
        <w:t>I.3</w:t>
      </w:r>
      <w:r w:rsidR="003A755D" w:rsidRPr="003A755D">
        <w:rPr>
          <w:i/>
        </w:rPr>
        <w:tab/>
        <w:t>Schlussfolgerungen in Bezug auf das Ko</w:t>
      </w:r>
      <w:r w:rsidR="003A755D" w:rsidRPr="003A755D">
        <w:rPr>
          <w:i/>
        </w:rPr>
        <w:t>n</w:t>
      </w:r>
      <w:r w:rsidR="003A755D" w:rsidRPr="003A755D">
        <w:rPr>
          <w:i/>
        </w:rPr>
        <w:t>kordat</w:t>
      </w:r>
    </w:p>
    <w:p w:rsidR="00896081" w:rsidRDefault="00896081" w:rsidP="00896081"/>
    <w:p w:rsidR="00896081" w:rsidRDefault="00311150" w:rsidP="00896081">
      <w:r w:rsidRPr="00C046A7">
        <w:t>Ohne Konkordat</w:t>
      </w:r>
      <w:r w:rsidR="00090655">
        <w:t>e</w:t>
      </w:r>
      <w:r w:rsidRPr="00C046A7">
        <w:t xml:space="preserve"> können in der Schweiz aufgrund des Binnenmarktgesetzes alle kanton</w:t>
      </w:r>
      <w:r w:rsidRPr="00C046A7">
        <w:t>a</w:t>
      </w:r>
      <w:r w:rsidRPr="00C046A7">
        <w:t>len Regelungen unterlaufen werden, die eine Zulassungsprüfung für Sicherheitsfirmen und ihre Mitarbeiter vorsehen, weil sich eine Firma in einem Kanton ohne Bewilligungsverfahren voraussetzungsfrei jene Praxis erwerben kann, die sie in der Folge gegenüber allen andern Kantonen geltend machen kann. Eine Rechtsvereinheitlichung ist der einzige Weg zu ve</w:t>
      </w:r>
      <w:r w:rsidRPr="00C046A7">
        <w:t>r</w:t>
      </w:r>
      <w:r w:rsidRPr="00C046A7">
        <w:t>hindern, dass die existierenden kantonalen Regelungen auf diese Weise unterlaufen we</w:t>
      </w:r>
      <w:r w:rsidRPr="00C046A7">
        <w:t>r</w:t>
      </w:r>
      <w:r w:rsidRPr="00C046A7">
        <w:t>den können.</w:t>
      </w:r>
      <w:r w:rsidR="001A3D75" w:rsidRPr="001A3D75">
        <w:t xml:space="preserve"> Aus diesen Gründen hat die Herbstversammlung KKJPD am 12. November 2010 den Kantonen</w:t>
      </w:r>
      <w:r w:rsidR="001A3D75">
        <w:t xml:space="preserve"> empfohlen</w:t>
      </w:r>
      <w:r w:rsidR="001A3D75" w:rsidRPr="001A3D75">
        <w:t xml:space="preserve">, innert zwei Jahren </w:t>
      </w:r>
      <w:r w:rsidR="001A3D75">
        <w:t>dem Konkordat der KKJPD vom 12. N</w:t>
      </w:r>
      <w:r w:rsidR="001A3D75">
        <w:t>o</w:t>
      </w:r>
      <w:r w:rsidR="001A3D75">
        <w:t>vember 2010 oder dem Westschweizer Ko</w:t>
      </w:r>
      <w:r w:rsidR="001A3D75">
        <w:t>n</w:t>
      </w:r>
      <w:r w:rsidR="001A3D75">
        <w:t xml:space="preserve">kordat </w:t>
      </w:r>
      <w:r w:rsidR="001A3D75" w:rsidRPr="001A3D75">
        <w:rPr>
          <w:lang w:val="de-DE"/>
        </w:rPr>
        <w:t>vom 18. Oktober 1996</w:t>
      </w:r>
      <w:r w:rsidR="001A3D75">
        <w:rPr>
          <w:lang w:val="de-DE"/>
        </w:rPr>
        <w:t xml:space="preserve"> </w:t>
      </w:r>
      <w:r w:rsidR="001A3D75" w:rsidRPr="001A3D75">
        <w:t>beizutreten.</w:t>
      </w:r>
    </w:p>
    <w:p w:rsidR="00896081" w:rsidRDefault="00896081" w:rsidP="00896081"/>
    <w:p w:rsidR="00896081" w:rsidRDefault="00896081" w:rsidP="00896081"/>
    <w:p w:rsidR="00505F2F" w:rsidRDefault="00505F2F" w:rsidP="00505F2F"/>
    <w:p w:rsidR="00505F2F" w:rsidRDefault="00505F2F" w:rsidP="00505F2F"/>
    <w:p w:rsidR="00505F2F" w:rsidRPr="0036250C" w:rsidRDefault="00505F2F" w:rsidP="00505F2F">
      <w:pPr>
        <w:rPr>
          <w:b/>
        </w:rPr>
      </w:pPr>
      <w:r w:rsidRPr="0036250C">
        <w:rPr>
          <w:b/>
        </w:rPr>
        <w:t>I</w:t>
      </w:r>
      <w:r w:rsidR="0036250C" w:rsidRPr="0036250C">
        <w:rPr>
          <w:b/>
        </w:rPr>
        <w:t>I</w:t>
      </w:r>
      <w:r w:rsidRPr="0036250C">
        <w:rPr>
          <w:b/>
        </w:rPr>
        <w:t xml:space="preserve">.  </w:t>
      </w:r>
      <w:r w:rsidR="0036250C" w:rsidRPr="0036250C">
        <w:rPr>
          <w:b/>
        </w:rPr>
        <w:t>Erläuterungen zu den einzelnen Artikeln des Konkordats</w:t>
      </w:r>
    </w:p>
    <w:p w:rsidR="00505F2F" w:rsidRDefault="00505F2F" w:rsidP="00505F2F"/>
    <w:p w:rsidR="00505F2F" w:rsidRPr="00EB20C9" w:rsidRDefault="00505F2F" w:rsidP="00505F2F">
      <w:pPr>
        <w:rPr>
          <w:rFonts w:cs="Arial"/>
        </w:rPr>
      </w:pPr>
    </w:p>
    <w:p w:rsidR="00505F2F" w:rsidRPr="009A02C4" w:rsidRDefault="0036250C" w:rsidP="0036250C">
      <w:pPr>
        <w:spacing w:after="120"/>
        <w:rPr>
          <w:rFonts w:cs="Arial"/>
          <w:b/>
          <w:i/>
        </w:rPr>
      </w:pPr>
      <w:r w:rsidRPr="009A02C4">
        <w:rPr>
          <w:rFonts w:cs="Arial"/>
          <w:b/>
          <w:i/>
        </w:rPr>
        <w:t>Zu Artikel 1</w:t>
      </w:r>
    </w:p>
    <w:p w:rsidR="0036250C" w:rsidRPr="00960512" w:rsidRDefault="00960512" w:rsidP="00505F2F">
      <w:pPr>
        <w:rPr>
          <w:rFonts w:cs="Arial"/>
        </w:rPr>
      </w:pPr>
      <w:r>
        <w:rPr>
          <w:rFonts w:cs="Arial"/>
        </w:rPr>
        <w:t>Das</w:t>
      </w:r>
      <w:r w:rsidRPr="00960512">
        <w:rPr>
          <w:rFonts w:cs="Arial"/>
        </w:rPr>
        <w:t xml:space="preserve"> Konkordat regelt das Erbringen von Sicherheitsdienstleistungen durch Private.</w:t>
      </w:r>
      <w:r>
        <w:rPr>
          <w:rFonts w:cs="Arial"/>
        </w:rPr>
        <w:t xml:space="preserve"> Der zentrale Begriff </w:t>
      </w:r>
      <w:r w:rsidR="000D6577">
        <w:rPr>
          <w:rFonts w:cs="Arial"/>
        </w:rPr>
        <w:t>„</w:t>
      </w:r>
      <w:r>
        <w:rPr>
          <w:rFonts w:cs="Arial"/>
        </w:rPr>
        <w:t>Sicherheitsdienstleistungen</w:t>
      </w:r>
      <w:r w:rsidR="000D6577">
        <w:rPr>
          <w:rFonts w:cs="Arial"/>
        </w:rPr>
        <w:t>“</w:t>
      </w:r>
      <w:r>
        <w:rPr>
          <w:rFonts w:cs="Arial"/>
        </w:rPr>
        <w:t xml:space="preserve"> wird in Artikel 3 definiert. Unter „Privaten“ werden nichtstaatliche Akteure verstanden.</w:t>
      </w:r>
    </w:p>
    <w:p w:rsidR="0036250C" w:rsidRDefault="0036250C" w:rsidP="00505F2F">
      <w:pPr>
        <w:rPr>
          <w:rFonts w:cs="Arial"/>
        </w:rPr>
      </w:pPr>
    </w:p>
    <w:p w:rsidR="00960512" w:rsidRDefault="00960512" w:rsidP="00505F2F">
      <w:pPr>
        <w:rPr>
          <w:rFonts w:cs="Arial"/>
        </w:rPr>
      </w:pPr>
    </w:p>
    <w:p w:rsidR="0036250C" w:rsidRPr="009A02C4" w:rsidRDefault="0036250C" w:rsidP="0036250C">
      <w:pPr>
        <w:spacing w:after="120"/>
        <w:rPr>
          <w:rFonts w:cs="Arial"/>
          <w:b/>
          <w:i/>
        </w:rPr>
      </w:pPr>
      <w:r w:rsidRPr="009A02C4">
        <w:rPr>
          <w:rFonts w:cs="Arial"/>
          <w:b/>
          <w:i/>
        </w:rPr>
        <w:t>Zu Artikel 2</w:t>
      </w:r>
    </w:p>
    <w:p w:rsidR="0036250C" w:rsidRDefault="00825C92" w:rsidP="0036250C">
      <w:pPr>
        <w:rPr>
          <w:rFonts w:cs="Arial"/>
        </w:rPr>
      </w:pPr>
      <w:r>
        <w:rPr>
          <w:rFonts w:cs="Arial"/>
        </w:rPr>
        <w:t>In den einleitenden rechtlichen Ausführungen wurde dargelegt, dass das Binnenmarktg</w:t>
      </w:r>
      <w:r>
        <w:rPr>
          <w:rFonts w:cs="Arial"/>
        </w:rPr>
        <w:t>e</w:t>
      </w:r>
      <w:r>
        <w:rPr>
          <w:rFonts w:cs="Arial"/>
        </w:rPr>
        <w:t xml:space="preserve">setz und das Freizügigkeitsabkommen den kantonalen Spielraum einschränken, jedoch nicht völlig ausschliessen. </w:t>
      </w:r>
      <w:r w:rsidR="00407ED1">
        <w:rPr>
          <w:rFonts w:cs="Arial"/>
        </w:rPr>
        <w:t>Im Rahmen dieses beschränk</w:t>
      </w:r>
      <w:r w:rsidR="00E869D3">
        <w:rPr>
          <w:rFonts w:cs="Arial"/>
        </w:rPr>
        <w:t>t</w:t>
      </w:r>
      <w:r w:rsidR="00407ED1">
        <w:rPr>
          <w:rFonts w:cs="Arial"/>
        </w:rPr>
        <w:t xml:space="preserve">en Spielraums </w:t>
      </w:r>
      <w:r w:rsidRPr="003426E1">
        <w:rPr>
          <w:rFonts w:cs="Arial"/>
        </w:rPr>
        <w:t>können die Kant</w:t>
      </w:r>
      <w:r w:rsidRPr="003426E1">
        <w:rPr>
          <w:rFonts w:cs="Arial"/>
        </w:rPr>
        <w:t>o</w:t>
      </w:r>
      <w:r w:rsidRPr="003426E1">
        <w:rPr>
          <w:rFonts w:cs="Arial"/>
        </w:rPr>
        <w:t xml:space="preserve">ne </w:t>
      </w:r>
      <w:r>
        <w:rPr>
          <w:rFonts w:cs="Arial"/>
        </w:rPr>
        <w:t>f</w:t>
      </w:r>
      <w:r w:rsidR="003426E1" w:rsidRPr="003426E1">
        <w:rPr>
          <w:rFonts w:cs="Arial"/>
        </w:rPr>
        <w:t>ür das Erteilen von Bewilligungen und hinsichtlich der Pflichten der Bewilligungsinhab</w:t>
      </w:r>
      <w:r w:rsidR="003426E1" w:rsidRPr="003426E1">
        <w:rPr>
          <w:rFonts w:cs="Arial"/>
        </w:rPr>
        <w:t>e</w:t>
      </w:r>
      <w:r w:rsidR="003426E1" w:rsidRPr="003426E1">
        <w:rPr>
          <w:rFonts w:cs="Arial"/>
        </w:rPr>
        <w:t>rinnen und -inhaber stre</w:t>
      </w:r>
      <w:r w:rsidR="003426E1" w:rsidRPr="003426E1">
        <w:rPr>
          <w:rFonts w:cs="Arial"/>
        </w:rPr>
        <w:t>n</w:t>
      </w:r>
      <w:r w:rsidR="003426E1" w:rsidRPr="003426E1">
        <w:rPr>
          <w:rFonts w:cs="Arial"/>
        </w:rPr>
        <w:t>gere Regelungen vorsehen.</w:t>
      </w:r>
    </w:p>
    <w:p w:rsidR="00EE4AC5" w:rsidRDefault="00EE4AC5" w:rsidP="0036250C">
      <w:pPr>
        <w:rPr>
          <w:rFonts w:cs="Arial"/>
        </w:rPr>
      </w:pPr>
    </w:p>
    <w:p w:rsidR="00EE4AC5" w:rsidRDefault="00EE4AC5" w:rsidP="0036250C">
      <w:pPr>
        <w:rPr>
          <w:rFonts w:cs="Arial"/>
        </w:rPr>
      </w:pPr>
      <w:r w:rsidRPr="00EE4AC5">
        <w:rPr>
          <w:rFonts w:cs="Arial"/>
        </w:rPr>
        <w:t>Der in Art</w:t>
      </w:r>
      <w:r>
        <w:rPr>
          <w:rFonts w:cs="Arial"/>
        </w:rPr>
        <w:t>ikel</w:t>
      </w:r>
      <w:r w:rsidRPr="00EE4AC5">
        <w:rPr>
          <w:rFonts w:cs="Arial"/>
        </w:rPr>
        <w:t xml:space="preserve"> 2 enthaltene Vorbehalt kantonalen Rechts gilt nicht für sämtliche Bestimmu</w:t>
      </w:r>
      <w:r w:rsidRPr="00EE4AC5">
        <w:rPr>
          <w:rFonts w:cs="Arial"/>
        </w:rPr>
        <w:t>n</w:t>
      </w:r>
      <w:r w:rsidRPr="00EE4AC5">
        <w:rPr>
          <w:rFonts w:cs="Arial"/>
        </w:rPr>
        <w:t>gen des Konkordatsentwurfs, sondern nur „für das Erteilen von Bewilligungen und hinsich</w:t>
      </w:r>
      <w:r w:rsidRPr="00EE4AC5">
        <w:rPr>
          <w:rFonts w:cs="Arial"/>
        </w:rPr>
        <w:t>t</w:t>
      </w:r>
      <w:r w:rsidRPr="00EE4AC5">
        <w:rPr>
          <w:rFonts w:cs="Arial"/>
        </w:rPr>
        <w:t xml:space="preserve">lich der Pflichten der Bewilligungsinhaberinnen und </w:t>
      </w:r>
      <w:r w:rsidRPr="00EE4AC5">
        <w:rPr>
          <w:rFonts w:cs="Arial"/>
        </w:rPr>
        <w:noBreakHyphen/>
        <w:t xml:space="preserve">inhaber“. </w:t>
      </w:r>
      <w:r w:rsidRPr="00EE4AC5">
        <w:rPr>
          <w:rFonts w:cs="Arial"/>
          <w:u w:val="single"/>
        </w:rPr>
        <w:t>Der Vorbehalt kantonalen Rechts beschränkt sich somit auf Art. 5, Art. 6 und Art. 10–14</w:t>
      </w:r>
      <w:r w:rsidRPr="00EE4AC5">
        <w:rPr>
          <w:rFonts w:cs="Arial"/>
        </w:rPr>
        <w:t>.</w:t>
      </w:r>
    </w:p>
    <w:p w:rsidR="003426E1" w:rsidRDefault="003426E1" w:rsidP="0036250C">
      <w:pPr>
        <w:rPr>
          <w:rFonts w:cs="Arial"/>
        </w:rPr>
      </w:pPr>
    </w:p>
    <w:p w:rsidR="0036250C" w:rsidRDefault="0036250C" w:rsidP="0036250C">
      <w:pPr>
        <w:rPr>
          <w:rFonts w:cs="Arial"/>
        </w:rPr>
      </w:pPr>
    </w:p>
    <w:p w:rsidR="009A02C4" w:rsidRPr="009A02C4" w:rsidRDefault="009A02C4" w:rsidP="009A02C4">
      <w:pPr>
        <w:spacing w:after="120"/>
        <w:rPr>
          <w:rFonts w:cs="Arial"/>
          <w:b/>
          <w:i/>
        </w:rPr>
      </w:pPr>
      <w:r w:rsidRPr="009A02C4">
        <w:rPr>
          <w:rFonts w:cs="Arial"/>
          <w:b/>
          <w:i/>
        </w:rPr>
        <w:t>Zu Artikel 3</w:t>
      </w:r>
    </w:p>
    <w:p w:rsidR="005E13DB" w:rsidRPr="005E13DB" w:rsidRDefault="005E13DB" w:rsidP="005E13DB">
      <w:pPr>
        <w:spacing w:after="120"/>
        <w:rPr>
          <w:rFonts w:cs="Arial"/>
          <w:i/>
        </w:rPr>
      </w:pPr>
      <w:r w:rsidRPr="005E13DB">
        <w:rPr>
          <w:rFonts w:cs="Arial"/>
          <w:i/>
        </w:rPr>
        <w:t>Absatz 1 Buchstabe a</w:t>
      </w:r>
    </w:p>
    <w:p w:rsidR="009A02C4" w:rsidRPr="005E13DB" w:rsidRDefault="005E13DB" w:rsidP="009A02C4">
      <w:pPr>
        <w:rPr>
          <w:rFonts w:cs="Arial"/>
        </w:rPr>
      </w:pPr>
      <w:r>
        <w:rPr>
          <w:rFonts w:cs="Arial"/>
        </w:rPr>
        <w:t xml:space="preserve">Unter </w:t>
      </w:r>
      <w:r w:rsidRPr="005E13DB">
        <w:rPr>
          <w:rFonts w:cs="Arial"/>
        </w:rPr>
        <w:t>Sicherheitsdienstleistungen</w:t>
      </w:r>
      <w:r>
        <w:rPr>
          <w:rFonts w:cs="Arial"/>
        </w:rPr>
        <w:t xml:space="preserve"> sind die genannten</w:t>
      </w:r>
      <w:r w:rsidR="00CE4F88" w:rsidRPr="00CE4F88">
        <w:rPr>
          <w:rFonts w:cs="Arial"/>
        </w:rPr>
        <w:t xml:space="preserve"> </w:t>
      </w:r>
      <w:r w:rsidR="00CE4F88" w:rsidRPr="005E13DB">
        <w:rPr>
          <w:rFonts w:cs="Arial"/>
        </w:rPr>
        <w:t>Tätigkeiten</w:t>
      </w:r>
      <w:r w:rsidR="00CE4F88">
        <w:rPr>
          <w:rFonts w:cs="Arial"/>
        </w:rPr>
        <w:t xml:space="preserve"> zu verstehen</w:t>
      </w:r>
      <w:r w:rsidRPr="005E13DB">
        <w:rPr>
          <w:rFonts w:cs="Arial"/>
        </w:rPr>
        <w:t xml:space="preserve">, </w:t>
      </w:r>
      <w:r w:rsidR="00CE4F88">
        <w:rPr>
          <w:rFonts w:cs="Arial"/>
        </w:rPr>
        <w:t xml:space="preserve">unabhängig davon, ob sie </w:t>
      </w:r>
      <w:r w:rsidRPr="005E13DB">
        <w:rPr>
          <w:rFonts w:cs="Arial"/>
        </w:rPr>
        <w:t>im öffentlichen</w:t>
      </w:r>
      <w:r w:rsidR="00CE4F88">
        <w:rPr>
          <w:rFonts w:cs="Arial"/>
        </w:rPr>
        <w:t>,</w:t>
      </w:r>
      <w:r w:rsidRPr="005E13DB">
        <w:rPr>
          <w:rFonts w:cs="Arial"/>
        </w:rPr>
        <w:t xml:space="preserve"> halböffentlichen </w:t>
      </w:r>
      <w:r w:rsidR="00CE4F88">
        <w:rPr>
          <w:rFonts w:cs="Arial"/>
        </w:rPr>
        <w:t xml:space="preserve">oder privaten </w:t>
      </w:r>
      <w:r w:rsidRPr="005E13DB">
        <w:rPr>
          <w:rFonts w:cs="Arial"/>
        </w:rPr>
        <w:t>Raum erbracht</w:t>
      </w:r>
      <w:r w:rsidR="00CE4F88">
        <w:rPr>
          <w:rFonts w:cs="Arial"/>
        </w:rPr>
        <w:t xml:space="preserve"> werden</w:t>
      </w:r>
      <w:r w:rsidR="00DD52EE">
        <w:rPr>
          <w:rFonts w:cs="Arial"/>
        </w:rPr>
        <w:t>.</w:t>
      </w:r>
    </w:p>
    <w:p w:rsidR="009A02C4" w:rsidRDefault="009A02C4" w:rsidP="009A02C4">
      <w:pPr>
        <w:rPr>
          <w:rFonts w:cs="Arial"/>
        </w:rPr>
      </w:pPr>
    </w:p>
    <w:p w:rsidR="00960512" w:rsidRDefault="00B45005" w:rsidP="009A02C4">
      <w:pPr>
        <w:rPr>
          <w:rFonts w:cs="Arial"/>
        </w:rPr>
      </w:pPr>
      <w:r>
        <w:rPr>
          <w:rFonts w:cs="Arial"/>
        </w:rPr>
        <w:t xml:space="preserve">In den Ziffern 1 bis 8 werden die verschiedenen Sicherheitsdienstleistungen genannt und mit Beispielen veranschaulicht. </w:t>
      </w:r>
      <w:r w:rsidR="0014152D">
        <w:rPr>
          <w:rFonts w:cs="Arial"/>
        </w:rPr>
        <w:t xml:space="preserve">In </w:t>
      </w:r>
      <w:r w:rsidR="00DD52EE">
        <w:rPr>
          <w:rFonts w:cs="Arial"/>
        </w:rPr>
        <w:t xml:space="preserve">den Beispielen </w:t>
      </w:r>
      <w:r w:rsidR="00FC7C99">
        <w:rPr>
          <w:rFonts w:cs="Arial"/>
        </w:rPr>
        <w:t>zu</w:t>
      </w:r>
      <w:r w:rsidR="00DD52EE">
        <w:rPr>
          <w:rFonts w:cs="Arial"/>
        </w:rPr>
        <w:t xml:space="preserve"> Ziffer 1 </w:t>
      </w:r>
      <w:r w:rsidR="0014152D">
        <w:rPr>
          <w:rFonts w:cs="Arial"/>
        </w:rPr>
        <w:t xml:space="preserve">sind </w:t>
      </w:r>
      <w:r w:rsidR="00DD52EE">
        <w:rPr>
          <w:rFonts w:cs="Arial"/>
        </w:rPr>
        <w:t xml:space="preserve">auch </w:t>
      </w:r>
      <w:r w:rsidR="0014152D">
        <w:rPr>
          <w:rFonts w:cs="Arial"/>
        </w:rPr>
        <w:t>die Türsteher entha</w:t>
      </w:r>
      <w:r w:rsidR="0014152D">
        <w:rPr>
          <w:rFonts w:cs="Arial"/>
        </w:rPr>
        <w:t>l</w:t>
      </w:r>
      <w:r w:rsidR="0014152D">
        <w:rPr>
          <w:rFonts w:cs="Arial"/>
        </w:rPr>
        <w:t>ten.</w:t>
      </w:r>
      <w:r w:rsidR="007F7DC9">
        <w:rPr>
          <w:rFonts w:cs="Arial"/>
        </w:rPr>
        <w:t xml:space="preserve"> </w:t>
      </w:r>
      <w:r w:rsidR="007F7DC9" w:rsidRPr="007F7DC9">
        <w:rPr>
          <w:rFonts w:cs="Arial"/>
        </w:rPr>
        <w:t xml:space="preserve">Die KKJPD hat </w:t>
      </w:r>
      <w:r w:rsidR="0035074C" w:rsidRPr="007F7DC9">
        <w:rPr>
          <w:rFonts w:cs="Arial"/>
        </w:rPr>
        <w:t>am 16. November 2007 für den Bereich der Türsteher Empfehlungen verabschiedet</w:t>
      </w:r>
      <w:r w:rsidR="0035074C">
        <w:rPr>
          <w:rFonts w:cs="Arial"/>
        </w:rPr>
        <w:t xml:space="preserve">, welche von der </w:t>
      </w:r>
      <w:r w:rsidR="000D6577" w:rsidRPr="00751F97">
        <w:t xml:space="preserve">Konferenz der kantonalen Polizeikommandanten der Schweiz </w:t>
      </w:r>
      <w:r w:rsidR="000D6577">
        <w:t>(</w:t>
      </w:r>
      <w:r w:rsidR="0035074C">
        <w:rPr>
          <w:rFonts w:cs="Arial"/>
        </w:rPr>
        <w:t>KKPKS</w:t>
      </w:r>
      <w:r w:rsidR="000D6577">
        <w:rPr>
          <w:rFonts w:cs="Arial"/>
        </w:rPr>
        <w:t>)</w:t>
      </w:r>
      <w:r w:rsidR="0035074C">
        <w:rPr>
          <w:rFonts w:cs="Arial"/>
        </w:rPr>
        <w:t xml:space="preserve"> e</w:t>
      </w:r>
      <w:r w:rsidR="0035074C">
        <w:rPr>
          <w:rFonts w:cs="Arial"/>
        </w:rPr>
        <w:t>r</w:t>
      </w:r>
      <w:r w:rsidR="0035074C">
        <w:rPr>
          <w:rFonts w:cs="Arial"/>
        </w:rPr>
        <w:t xml:space="preserve">arbeitet </w:t>
      </w:r>
      <w:r w:rsidR="007F7DC9" w:rsidRPr="007F7DC9">
        <w:rPr>
          <w:rFonts w:cs="Arial"/>
        </w:rPr>
        <w:t>wurden.</w:t>
      </w:r>
      <w:r w:rsidR="00FC7C99">
        <w:rPr>
          <w:rFonts w:cs="Arial"/>
        </w:rPr>
        <w:t xml:space="preserve"> Die Empfehlung</w:t>
      </w:r>
      <w:r w:rsidR="001A44E2">
        <w:rPr>
          <w:rFonts w:cs="Arial"/>
        </w:rPr>
        <w:t>en</w:t>
      </w:r>
      <w:r w:rsidR="00FC7C99">
        <w:rPr>
          <w:rFonts w:cs="Arial"/>
        </w:rPr>
        <w:t xml:space="preserve"> laute</w:t>
      </w:r>
      <w:r w:rsidR="001A44E2">
        <w:rPr>
          <w:rFonts w:cs="Arial"/>
        </w:rPr>
        <w:t>n</w:t>
      </w:r>
      <w:r w:rsidR="00FC7C99">
        <w:rPr>
          <w:rFonts w:cs="Arial"/>
        </w:rPr>
        <w:t>:</w:t>
      </w:r>
    </w:p>
    <w:p w:rsidR="00915068" w:rsidRDefault="00915068" w:rsidP="009A02C4">
      <w:pPr>
        <w:rPr>
          <w:rFonts w:cs="Arial"/>
        </w:rPr>
      </w:pPr>
    </w:p>
    <w:p w:rsidR="00915068" w:rsidRPr="00915068" w:rsidRDefault="00915068" w:rsidP="00915068">
      <w:pPr>
        <w:ind w:left="708"/>
        <w:rPr>
          <w:rFonts w:cs="Arial"/>
          <w:i/>
        </w:rPr>
      </w:pPr>
      <w:r w:rsidRPr="00915068">
        <w:rPr>
          <w:rFonts w:cs="Arial"/>
          <w:i/>
        </w:rPr>
        <w:t>„Bei der Erteilung der für Veranstaltungen, Nachtlokale, Clubs, Discos etc. nötigen Bewilligungen versehen die zuständigen kantonalen oder kommunalen Behörden diese Bewilligungen mit der klaren Auflage, dass nur Angehörige offiziell zugelass</w:t>
      </w:r>
      <w:r w:rsidRPr="00915068">
        <w:rPr>
          <w:rFonts w:cs="Arial"/>
          <w:i/>
        </w:rPr>
        <w:t>e</w:t>
      </w:r>
      <w:r w:rsidRPr="00915068">
        <w:rPr>
          <w:rFonts w:cs="Arial"/>
          <w:i/>
        </w:rPr>
        <w:t>ner Sicherheitsu</w:t>
      </w:r>
      <w:r w:rsidRPr="00915068">
        <w:rPr>
          <w:rFonts w:cs="Arial"/>
          <w:i/>
        </w:rPr>
        <w:t>n</w:t>
      </w:r>
      <w:r w:rsidRPr="00915068">
        <w:rPr>
          <w:rFonts w:cs="Arial"/>
          <w:i/>
        </w:rPr>
        <w:t>ternehmen als „Türsteher“ eingesetzt werden dürfen. Sollte diese Auflage nicht eingehalten werden, wird die Bewilligung entzogen. Das Selbe gilt auch für Betriebe, denen eine Verlängerung der üblichen Öffnungszeiten zugesta</w:t>
      </w:r>
      <w:r w:rsidRPr="00915068">
        <w:rPr>
          <w:rFonts w:cs="Arial"/>
          <w:i/>
        </w:rPr>
        <w:t>n</w:t>
      </w:r>
      <w:r w:rsidRPr="00915068">
        <w:rPr>
          <w:rFonts w:cs="Arial"/>
          <w:i/>
        </w:rPr>
        <w:t>den wird.“</w:t>
      </w:r>
    </w:p>
    <w:p w:rsidR="00992491" w:rsidRDefault="00992491" w:rsidP="009A02C4">
      <w:pPr>
        <w:rPr>
          <w:rFonts w:cs="Arial"/>
        </w:rPr>
      </w:pPr>
    </w:p>
    <w:p w:rsidR="00915068" w:rsidRDefault="00915068" w:rsidP="009A02C4">
      <w:pPr>
        <w:rPr>
          <w:rFonts w:cs="Arial"/>
        </w:rPr>
      </w:pPr>
      <w:r>
        <w:rPr>
          <w:rFonts w:cs="Arial"/>
        </w:rPr>
        <w:t xml:space="preserve">Das Konkordat schafft </w:t>
      </w:r>
      <w:r w:rsidR="001A22B8">
        <w:rPr>
          <w:rFonts w:cs="Arial"/>
        </w:rPr>
        <w:t xml:space="preserve">mit der Bewilligungspflicht für Türsteher </w:t>
      </w:r>
      <w:r>
        <w:rPr>
          <w:rFonts w:cs="Arial"/>
        </w:rPr>
        <w:t xml:space="preserve">die Voraussetzung dafür, dass </w:t>
      </w:r>
      <w:r w:rsidR="001A22B8">
        <w:rPr>
          <w:rFonts w:cs="Arial"/>
        </w:rPr>
        <w:t>die Gewerbebewilligungen für Veranstaltungen und Gastrobetriebe mit der Auflage versehen werden können, dass nur offiziell zugelassene Sicherheitsangestellte als Türst</w:t>
      </w:r>
      <w:r w:rsidR="001A22B8">
        <w:rPr>
          <w:rFonts w:cs="Arial"/>
        </w:rPr>
        <w:t>e</w:t>
      </w:r>
      <w:r w:rsidR="001A22B8">
        <w:rPr>
          <w:rFonts w:cs="Arial"/>
        </w:rPr>
        <w:t>her eingesetzt werden dü</w:t>
      </w:r>
      <w:r w:rsidR="001A22B8">
        <w:rPr>
          <w:rFonts w:cs="Arial"/>
        </w:rPr>
        <w:t>r</w:t>
      </w:r>
      <w:r w:rsidR="001A22B8">
        <w:rPr>
          <w:rFonts w:cs="Arial"/>
        </w:rPr>
        <w:t>fen.</w:t>
      </w:r>
    </w:p>
    <w:p w:rsidR="00915068" w:rsidRDefault="00915068" w:rsidP="009A02C4">
      <w:pPr>
        <w:rPr>
          <w:rFonts w:cs="Arial"/>
        </w:rPr>
      </w:pPr>
    </w:p>
    <w:p w:rsidR="00992491" w:rsidRDefault="00992491" w:rsidP="009A02C4">
      <w:pPr>
        <w:rPr>
          <w:rFonts w:cs="Arial"/>
        </w:rPr>
      </w:pPr>
      <w:r>
        <w:rPr>
          <w:rFonts w:cs="Arial"/>
        </w:rPr>
        <w:t>Der Begriff der Sicherheitsdienstleistungen kann in Ausführungsbestimmungen weiter ko</w:t>
      </w:r>
      <w:r>
        <w:rPr>
          <w:rFonts w:cs="Arial"/>
        </w:rPr>
        <w:t>n</w:t>
      </w:r>
      <w:r>
        <w:rPr>
          <w:rFonts w:cs="Arial"/>
        </w:rPr>
        <w:t>kre</w:t>
      </w:r>
      <w:r w:rsidR="000D6577">
        <w:rPr>
          <w:rFonts w:cs="Arial"/>
        </w:rPr>
        <w:t xml:space="preserve">tisiert werden (siehe Artikel </w:t>
      </w:r>
      <w:r w:rsidR="00DF5EF1">
        <w:rPr>
          <w:rFonts w:cs="Arial"/>
        </w:rPr>
        <w:t>17</w:t>
      </w:r>
      <w:r>
        <w:rPr>
          <w:rFonts w:cs="Arial"/>
        </w:rPr>
        <w:t xml:space="preserve"> Absatz 1).</w:t>
      </w:r>
    </w:p>
    <w:p w:rsidR="0014152D" w:rsidRDefault="0014152D" w:rsidP="009A02C4">
      <w:pPr>
        <w:rPr>
          <w:rFonts w:cs="Arial"/>
        </w:rPr>
      </w:pPr>
    </w:p>
    <w:p w:rsidR="00957AE8" w:rsidRPr="005E13DB" w:rsidRDefault="00957AE8" w:rsidP="00957AE8">
      <w:pPr>
        <w:spacing w:after="120"/>
        <w:rPr>
          <w:rFonts w:cs="Arial"/>
          <w:i/>
        </w:rPr>
      </w:pPr>
      <w:r w:rsidRPr="005E13DB">
        <w:rPr>
          <w:rFonts w:cs="Arial"/>
          <w:i/>
        </w:rPr>
        <w:t>Absatz 1 Buchstabe</w:t>
      </w:r>
      <w:r>
        <w:rPr>
          <w:rFonts w:cs="Arial"/>
          <w:i/>
        </w:rPr>
        <w:t>n b und c</w:t>
      </w:r>
    </w:p>
    <w:p w:rsidR="00960512" w:rsidRDefault="00957AE8" w:rsidP="009A02C4">
      <w:r>
        <w:rPr>
          <w:rFonts w:cs="Arial"/>
        </w:rPr>
        <w:t xml:space="preserve">Die Begriffe </w:t>
      </w:r>
      <w:r w:rsidR="000D6577">
        <w:rPr>
          <w:rFonts w:cs="Arial"/>
        </w:rPr>
        <w:t>„</w:t>
      </w:r>
      <w:r w:rsidRPr="00957AE8">
        <w:rPr>
          <w:rFonts w:cs="Arial"/>
        </w:rPr>
        <w:t>Sicherheitsangestellte</w:t>
      </w:r>
      <w:r w:rsidR="000D6577">
        <w:rPr>
          <w:rFonts w:cs="Arial"/>
        </w:rPr>
        <w:t>“</w:t>
      </w:r>
      <w:r>
        <w:rPr>
          <w:rFonts w:cs="Arial"/>
        </w:rPr>
        <w:t xml:space="preserve"> und </w:t>
      </w:r>
      <w:r w:rsidR="000D6577">
        <w:rPr>
          <w:rFonts w:cs="Arial"/>
        </w:rPr>
        <w:t>„</w:t>
      </w:r>
      <w:r w:rsidRPr="00957AE8">
        <w:rPr>
          <w:rFonts w:cs="Arial"/>
        </w:rPr>
        <w:t>Sicherheitsunternehmen</w:t>
      </w:r>
      <w:r w:rsidR="000D6577">
        <w:rPr>
          <w:rFonts w:cs="Arial"/>
        </w:rPr>
        <w:t>“</w:t>
      </w:r>
      <w:r>
        <w:rPr>
          <w:rFonts w:cs="Arial"/>
        </w:rPr>
        <w:t xml:space="preserve"> knüpfen an die in Buc</w:t>
      </w:r>
      <w:r>
        <w:rPr>
          <w:rFonts w:cs="Arial"/>
        </w:rPr>
        <w:t>h</w:t>
      </w:r>
      <w:r>
        <w:rPr>
          <w:rFonts w:cs="Arial"/>
        </w:rPr>
        <w:t xml:space="preserve">stabe a definierten </w:t>
      </w:r>
      <w:r w:rsidRPr="00957AE8">
        <w:rPr>
          <w:rFonts w:cs="Arial"/>
        </w:rPr>
        <w:t>Sicherheitsdienstleistungen</w:t>
      </w:r>
      <w:r>
        <w:rPr>
          <w:rFonts w:cs="Arial"/>
        </w:rPr>
        <w:t xml:space="preserve"> an. Aus Buchstabe c ergibt sich, dass die Rechtsform der Sicherheitsu</w:t>
      </w:r>
      <w:r w:rsidR="00960512">
        <w:t>nternehmen</w:t>
      </w:r>
      <w:r>
        <w:t xml:space="preserve"> </w:t>
      </w:r>
      <w:r w:rsidR="00960512">
        <w:t xml:space="preserve">(AG, Verein, einfache Gesellschaft, </w:t>
      </w:r>
      <w:r w:rsidR="00233130">
        <w:t xml:space="preserve">Einzelfirma </w:t>
      </w:r>
      <w:r w:rsidR="00960512">
        <w:t xml:space="preserve">etc.) </w:t>
      </w:r>
      <w:r w:rsidR="00233130">
        <w:t>irrelevant ist</w:t>
      </w:r>
      <w:r w:rsidR="00960512">
        <w:t>.</w:t>
      </w:r>
    </w:p>
    <w:p w:rsidR="00233130" w:rsidRDefault="00233130" w:rsidP="009A02C4">
      <w:pPr>
        <w:rPr>
          <w:rFonts w:cs="Arial"/>
        </w:rPr>
      </w:pPr>
    </w:p>
    <w:p w:rsidR="00233130" w:rsidRPr="005E13DB" w:rsidRDefault="00233130" w:rsidP="00233130">
      <w:pPr>
        <w:spacing w:after="120"/>
        <w:rPr>
          <w:rFonts w:cs="Arial"/>
          <w:i/>
        </w:rPr>
      </w:pPr>
      <w:r>
        <w:rPr>
          <w:rFonts w:cs="Arial"/>
          <w:i/>
        </w:rPr>
        <w:t>Absatz 2</w:t>
      </w:r>
    </w:p>
    <w:p w:rsidR="00BC27B0" w:rsidRDefault="00D94922" w:rsidP="009A02C4">
      <w:pPr>
        <w:rPr>
          <w:rFonts w:cs="Arial"/>
        </w:rPr>
      </w:pPr>
      <w:r>
        <w:rPr>
          <w:rFonts w:cs="Arial"/>
        </w:rPr>
        <w:t xml:space="preserve">Der Anwendungsbereich des Konkordats ist auf </w:t>
      </w:r>
      <w:r w:rsidR="00012F42">
        <w:rPr>
          <w:rFonts w:cs="Arial"/>
        </w:rPr>
        <w:t xml:space="preserve">zwei </w:t>
      </w:r>
      <w:r>
        <w:rPr>
          <w:rFonts w:cs="Arial"/>
        </w:rPr>
        <w:t xml:space="preserve">Seiten begrenzt. Einerseits </w:t>
      </w:r>
      <w:r w:rsidR="00823F08">
        <w:rPr>
          <w:rFonts w:cs="Arial"/>
        </w:rPr>
        <w:t>greifen</w:t>
      </w:r>
      <w:r w:rsidR="00012F42">
        <w:rPr>
          <w:rFonts w:cs="Arial"/>
        </w:rPr>
        <w:t xml:space="preserve"> gewisse polizeiliche</w:t>
      </w:r>
      <w:r w:rsidR="00905CD9">
        <w:rPr>
          <w:rFonts w:cs="Arial"/>
        </w:rPr>
        <w:t xml:space="preserve"> Tätigkeiten </w:t>
      </w:r>
      <w:r w:rsidR="00012F42">
        <w:rPr>
          <w:rFonts w:cs="Arial"/>
        </w:rPr>
        <w:t xml:space="preserve">typischerweise </w:t>
      </w:r>
      <w:r>
        <w:rPr>
          <w:rFonts w:cs="Arial"/>
        </w:rPr>
        <w:t>so intensiv</w:t>
      </w:r>
      <w:r w:rsidR="00012F42">
        <w:rPr>
          <w:rFonts w:cs="Arial"/>
        </w:rPr>
        <w:t xml:space="preserve"> in die Rechtsstellung von Priv</w:t>
      </w:r>
      <w:r w:rsidR="00012F42">
        <w:rPr>
          <w:rFonts w:cs="Arial"/>
        </w:rPr>
        <w:t>a</w:t>
      </w:r>
      <w:r w:rsidR="00012F42">
        <w:rPr>
          <w:rFonts w:cs="Arial"/>
        </w:rPr>
        <w:t>ten ein</w:t>
      </w:r>
      <w:r>
        <w:rPr>
          <w:rFonts w:cs="Arial"/>
        </w:rPr>
        <w:t xml:space="preserve">, dass sie </w:t>
      </w:r>
      <w:r w:rsidR="00905CD9">
        <w:rPr>
          <w:rFonts w:cs="Arial"/>
        </w:rPr>
        <w:t>aufgrund des staatlichen Gewaltmonopols ausschliesslich durch die Pol</w:t>
      </w:r>
      <w:r w:rsidR="00905CD9">
        <w:rPr>
          <w:rFonts w:cs="Arial"/>
        </w:rPr>
        <w:t>i</w:t>
      </w:r>
      <w:r w:rsidR="00905CD9">
        <w:rPr>
          <w:rFonts w:cs="Arial"/>
        </w:rPr>
        <w:t>zei wahrgenommen werden</w:t>
      </w:r>
      <w:r>
        <w:rPr>
          <w:rFonts w:cs="Arial"/>
        </w:rPr>
        <w:t xml:space="preserve"> </w:t>
      </w:r>
      <w:r w:rsidR="00823F08">
        <w:rPr>
          <w:rFonts w:cs="Arial"/>
        </w:rPr>
        <w:t xml:space="preserve">sollen </w:t>
      </w:r>
      <w:r>
        <w:rPr>
          <w:rFonts w:cs="Arial"/>
        </w:rPr>
        <w:t>(siehe dazu die Ausführungen</w:t>
      </w:r>
      <w:r w:rsidR="008D2AC3">
        <w:rPr>
          <w:rFonts w:cs="Arial"/>
        </w:rPr>
        <w:t xml:space="preserve"> zu Art. 10</w:t>
      </w:r>
      <w:r>
        <w:rPr>
          <w:rFonts w:cs="Arial"/>
        </w:rPr>
        <w:t>)</w:t>
      </w:r>
      <w:r w:rsidR="00905CD9">
        <w:rPr>
          <w:rFonts w:cs="Arial"/>
        </w:rPr>
        <w:t>.</w:t>
      </w:r>
      <w:r w:rsidR="00012F42">
        <w:rPr>
          <w:rFonts w:cs="Arial"/>
        </w:rPr>
        <w:t xml:space="preserve"> Diese </w:t>
      </w:r>
      <w:r w:rsidR="00823F08">
        <w:rPr>
          <w:rFonts w:cs="Arial"/>
        </w:rPr>
        <w:t>Abgre</w:t>
      </w:r>
      <w:r w:rsidR="00823F08">
        <w:rPr>
          <w:rFonts w:cs="Arial"/>
        </w:rPr>
        <w:t>n</w:t>
      </w:r>
      <w:r w:rsidR="00823F08">
        <w:rPr>
          <w:rFonts w:cs="Arial"/>
        </w:rPr>
        <w:t>zung des Anwendungsbereichs des Konkordats ergibt sich durch die abschliessende Au</w:t>
      </w:r>
      <w:r w:rsidR="00823F08">
        <w:rPr>
          <w:rFonts w:cs="Arial"/>
        </w:rPr>
        <w:t>f</w:t>
      </w:r>
      <w:r w:rsidR="00823F08">
        <w:rPr>
          <w:rFonts w:cs="Arial"/>
        </w:rPr>
        <w:t>zählung der z</w:t>
      </w:r>
      <w:r w:rsidR="00823F08">
        <w:rPr>
          <w:rFonts w:cs="Arial"/>
        </w:rPr>
        <w:t>u</w:t>
      </w:r>
      <w:r w:rsidR="00823F08">
        <w:rPr>
          <w:rFonts w:cs="Arial"/>
        </w:rPr>
        <w:t>lässigen Sicherheitsdienstleistungen in Art. 3 Abs. 1 Bst. a.</w:t>
      </w:r>
      <w:r w:rsidR="00905CD9">
        <w:rPr>
          <w:rFonts w:cs="Arial"/>
        </w:rPr>
        <w:t xml:space="preserve"> </w:t>
      </w:r>
    </w:p>
    <w:p w:rsidR="00BC27B0" w:rsidRDefault="00BC27B0" w:rsidP="009A02C4">
      <w:pPr>
        <w:rPr>
          <w:rFonts w:cs="Arial"/>
        </w:rPr>
      </w:pPr>
    </w:p>
    <w:p w:rsidR="00233130" w:rsidRPr="00905CD9" w:rsidRDefault="00D94922" w:rsidP="00BC27B0">
      <w:pPr>
        <w:rPr>
          <w:rFonts w:cs="Arial"/>
        </w:rPr>
      </w:pPr>
      <w:r>
        <w:rPr>
          <w:rFonts w:cs="Arial"/>
        </w:rPr>
        <w:t xml:space="preserve">Andererseits </w:t>
      </w:r>
      <w:r w:rsidR="00823F08">
        <w:rPr>
          <w:rFonts w:cs="Arial"/>
        </w:rPr>
        <w:t xml:space="preserve">sind gewisse </w:t>
      </w:r>
      <w:r>
        <w:rPr>
          <w:rFonts w:cs="Arial"/>
        </w:rPr>
        <w:t>Tätigkeiten</w:t>
      </w:r>
      <w:r w:rsidR="00823F08">
        <w:rPr>
          <w:rFonts w:cs="Arial"/>
        </w:rPr>
        <w:t xml:space="preserve"> typi</w:t>
      </w:r>
      <w:r w:rsidR="00E869D3">
        <w:rPr>
          <w:rFonts w:cs="Arial"/>
        </w:rPr>
        <w:t>s</w:t>
      </w:r>
      <w:r w:rsidR="00823F08">
        <w:rPr>
          <w:rFonts w:cs="Arial"/>
        </w:rPr>
        <w:t>cherweise</w:t>
      </w:r>
      <w:r>
        <w:rPr>
          <w:rFonts w:cs="Arial"/>
        </w:rPr>
        <w:t xml:space="preserve"> von so geringer </w:t>
      </w:r>
      <w:r w:rsidR="00823F08">
        <w:rPr>
          <w:rFonts w:cs="Arial"/>
        </w:rPr>
        <w:t>Eingriffsintensität</w:t>
      </w:r>
      <w:r>
        <w:rPr>
          <w:rFonts w:cs="Arial"/>
        </w:rPr>
        <w:t xml:space="preserve">, dass </w:t>
      </w:r>
      <w:r w:rsidR="00823F08">
        <w:rPr>
          <w:rFonts w:cs="Arial"/>
        </w:rPr>
        <w:t>sie nicht den strengen Regelungen unterworfen sein sollten, die mit diesem Konkordat für die privat</w:t>
      </w:r>
      <w:r w:rsidR="00BC27B0">
        <w:rPr>
          <w:rFonts w:cs="Arial"/>
        </w:rPr>
        <w:t>e</w:t>
      </w:r>
      <w:r w:rsidR="00823F08">
        <w:rPr>
          <w:rFonts w:cs="Arial"/>
        </w:rPr>
        <w:t xml:space="preserve">n Sicherheitsdienstleistungen geschaffen werden. </w:t>
      </w:r>
      <w:r w:rsidR="00233130">
        <w:rPr>
          <w:rFonts w:cs="Arial"/>
        </w:rPr>
        <w:t xml:space="preserve">Absatz 2 </w:t>
      </w:r>
      <w:r w:rsidR="00BC27B0">
        <w:rPr>
          <w:rFonts w:cs="Arial"/>
        </w:rPr>
        <w:t>hält in diesem Sinne fest</w:t>
      </w:r>
      <w:r w:rsidR="00233130">
        <w:rPr>
          <w:rFonts w:cs="Arial"/>
        </w:rPr>
        <w:t>, dass Tätigkeiten von untergeordneter Bedeutung nicht als Sicherheitsdienstlei</w:t>
      </w:r>
      <w:r w:rsidR="00233130">
        <w:rPr>
          <w:rFonts w:cs="Arial"/>
        </w:rPr>
        <w:t>s</w:t>
      </w:r>
      <w:r w:rsidR="00233130">
        <w:rPr>
          <w:rFonts w:cs="Arial"/>
        </w:rPr>
        <w:t>tungen gelten und somit nicht Gegenstand des Konkordats bilden.</w:t>
      </w:r>
      <w:r w:rsidR="00905CD9">
        <w:rPr>
          <w:rFonts w:cs="Arial"/>
        </w:rPr>
        <w:t xml:space="preserve"> Mit der Erwä</w:t>
      </w:r>
      <w:r w:rsidR="00905CD9">
        <w:rPr>
          <w:rFonts w:cs="Arial"/>
        </w:rPr>
        <w:t>h</w:t>
      </w:r>
      <w:r w:rsidR="00905CD9">
        <w:rPr>
          <w:rFonts w:cs="Arial"/>
        </w:rPr>
        <w:t xml:space="preserve">nung von </w:t>
      </w:r>
      <w:r w:rsidR="00905CD9" w:rsidRPr="00905CD9">
        <w:rPr>
          <w:rFonts w:cs="Arial"/>
        </w:rPr>
        <w:t>Verkehrsdienste</w:t>
      </w:r>
      <w:r w:rsidR="00905CD9">
        <w:rPr>
          <w:rFonts w:cs="Arial"/>
        </w:rPr>
        <w:t>n</w:t>
      </w:r>
      <w:r w:rsidR="00905CD9" w:rsidRPr="00905CD9">
        <w:rPr>
          <w:rFonts w:cs="Arial"/>
        </w:rPr>
        <w:t xml:space="preserve"> von untergeordneter Bedeutung</w:t>
      </w:r>
      <w:r w:rsidR="00905CD9">
        <w:rPr>
          <w:rFonts w:cs="Arial"/>
        </w:rPr>
        <w:t xml:space="preserve"> wird garantiert, dass </w:t>
      </w:r>
      <w:r w:rsidR="00905CD9" w:rsidRPr="00796969">
        <w:t>die in Art</w:t>
      </w:r>
      <w:r w:rsidR="00905CD9">
        <w:t>ikel</w:t>
      </w:r>
      <w:r w:rsidR="00905CD9" w:rsidRPr="00796969">
        <w:t xml:space="preserve"> 67 </w:t>
      </w:r>
      <w:r w:rsidR="00905CD9">
        <w:t>Signalisat</w:t>
      </w:r>
      <w:r w:rsidR="00905CD9">
        <w:t>i</w:t>
      </w:r>
      <w:r w:rsidR="00905CD9">
        <w:t xml:space="preserve">onsverordnung </w:t>
      </w:r>
      <w:r w:rsidR="00905CD9" w:rsidRPr="00796969">
        <w:t>erwähnten Schüler-, Werk- und Kadetten-Verkehrsdienste sowie der Strassenbaustellendienst nicht als Sicherheitsdiens</w:t>
      </w:r>
      <w:r w:rsidR="00905CD9" w:rsidRPr="00796969">
        <w:t>t</w:t>
      </w:r>
      <w:r w:rsidR="00905CD9" w:rsidRPr="00796969">
        <w:t>leistungen gelten.</w:t>
      </w:r>
    </w:p>
    <w:p w:rsidR="0077630B" w:rsidRDefault="0077630B" w:rsidP="0077630B">
      <w:pPr>
        <w:rPr>
          <w:rFonts w:cs="Arial"/>
        </w:rPr>
      </w:pPr>
    </w:p>
    <w:p w:rsidR="0077630B" w:rsidRDefault="0077630B" w:rsidP="0077630B">
      <w:pPr>
        <w:rPr>
          <w:rFonts w:cs="Arial"/>
        </w:rPr>
      </w:pPr>
      <w:r>
        <w:rPr>
          <w:rFonts w:cs="Arial"/>
        </w:rPr>
        <w:t>Der Begriff der Sicherheitsdienstleistungen kann in Ausführungsbestimmungen weiter ko</w:t>
      </w:r>
      <w:r>
        <w:rPr>
          <w:rFonts w:cs="Arial"/>
        </w:rPr>
        <w:t>n</w:t>
      </w:r>
      <w:r>
        <w:rPr>
          <w:rFonts w:cs="Arial"/>
        </w:rPr>
        <w:t>kretisiert werden (siehe Artikel 17 Absatz 1).</w:t>
      </w:r>
    </w:p>
    <w:p w:rsidR="00233130" w:rsidRDefault="00233130" w:rsidP="009A02C4">
      <w:pPr>
        <w:rPr>
          <w:rFonts w:cs="Arial"/>
        </w:rPr>
      </w:pPr>
    </w:p>
    <w:p w:rsidR="00233130" w:rsidRDefault="00233130" w:rsidP="009A02C4">
      <w:pPr>
        <w:rPr>
          <w:rFonts w:cs="Arial"/>
        </w:rPr>
      </w:pPr>
    </w:p>
    <w:p w:rsidR="009A02C4" w:rsidRPr="009A02C4" w:rsidRDefault="009A02C4" w:rsidP="009A02C4">
      <w:pPr>
        <w:spacing w:after="120"/>
        <w:rPr>
          <w:rFonts w:cs="Arial"/>
          <w:b/>
          <w:i/>
        </w:rPr>
      </w:pPr>
      <w:r w:rsidRPr="009A02C4">
        <w:rPr>
          <w:rFonts w:cs="Arial"/>
          <w:b/>
          <w:i/>
        </w:rPr>
        <w:t>Zu Artikel 4</w:t>
      </w:r>
    </w:p>
    <w:p w:rsidR="00F13653" w:rsidRPr="00024EC7" w:rsidRDefault="00F13653" w:rsidP="00F13653">
      <w:pPr>
        <w:spacing w:after="120"/>
        <w:rPr>
          <w:i/>
        </w:rPr>
      </w:pPr>
      <w:r w:rsidRPr="00024EC7">
        <w:rPr>
          <w:i/>
        </w:rPr>
        <w:t>Abs</w:t>
      </w:r>
      <w:r>
        <w:rPr>
          <w:i/>
        </w:rPr>
        <w:t>atz</w:t>
      </w:r>
      <w:r w:rsidRPr="00024EC7">
        <w:rPr>
          <w:i/>
        </w:rPr>
        <w:t xml:space="preserve"> 1</w:t>
      </w:r>
    </w:p>
    <w:p w:rsidR="009A02C4" w:rsidRDefault="00854CAF" w:rsidP="00BC27B0">
      <w:pPr>
        <w:rPr>
          <w:rFonts w:cs="Arial"/>
        </w:rPr>
      </w:pPr>
      <w:r>
        <w:rPr>
          <w:rFonts w:cs="Arial"/>
        </w:rPr>
        <w:t xml:space="preserve">Artikel 4 </w:t>
      </w:r>
      <w:r w:rsidR="00F13653">
        <w:rPr>
          <w:rFonts w:cs="Arial"/>
        </w:rPr>
        <w:t xml:space="preserve">Absatz 1 </w:t>
      </w:r>
      <w:r>
        <w:rPr>
          <w:rFonts w:cs="Arial"/>
        </w:rPr>
        <w:t xml:space="preserve">nennt, wofür eine Bewilligung erforderlich ist. </w:t>
      </w:r>
      <w:r w:rsidR="00196BA3">
        <w:rPr>
          <w:rFonts w:cs="Arial"/>
        </w:rPr>
        <w:t>Das Konkordat untersche</w:t>
      </w:r>
      <w:r w:rsidR="00196BA3">
        <w:rPr>
          <w:rFonts w:cs="Arial"/>
        </w:rPr>
        <w:t>i</w:t>
      </w:r>
      <w:r w:rsidR="00196BA3">
        <w:rPr>
          <w:rFonts w:cs="Arial"/>
        </w:rPr>
        <w:t xml:space="preserve">det </w:t>
      </w:r>
      <w:r w:rsidR="00196BA3">
        <w:t>zwischen der persönlichen Berufausübungsbewilligung der Sicherheitsangestellten, der Bewilligung für das Führen eines Sicherheitsunternehmens und der Betriebsbewilligung e</w:t>
      </w:r>
      <w:r w:rsidR="00196BA3">
        <w:t>i</w:t>
      </w:r>
      <w:r w:rsidR="00196BA3">
        <w:t xml:space="preserve">nes Unternehmens. Zudem ist auch der Einsatz von Diensthunden bewilligungspflichtig. </w:t>
      </w:r>
      <w:r>
        <w:rPr>
          <w:rFonts w:cs="Arial"/>
        </w:rPr>
        <w:t>Im internationalen und interkantonalen Umfeld ist wichtig, dass sich die Bewilligungspflicht nicht nur auf Sicherheitsunternehmen, sondern auch auf deren Zweigniederlassungen e</w:t>
      </w:r>
      <w:r>
        <w:rPr>
          <w:rFonts w:cs="Arial"/>
        </w:rPr>
        <w:t>r</w:t>
      </w:r>
      <w:r>
        <w:rPr>
          <w:rFonts w:cs="Arial"/>
        </w:rPr>
        <w:t xml:space="preserve">streckt. </w:t>
      </w:r>
      <w:r w:rsidR="000D6577">
        <w:t xml:space="preserve">Das Konkordat </w:t>
      </w:r>
      <w:r>
        <w:t xml:space="preserve">verzichtet darauf, das Bestehen einer </w:t>
      </w:r>
      <w:r>
        <w:rPr>
          <w:rFonts w:cs="Arial"/>
        </w:rPr>
        <w:t xml:space="preserve">Zweigniederlassung </w:t>
      </w:r>
      <w:r w:rsidR="000D6577">
        <w:rPr>
          <w:rFonts w:cs="Arial"/>
        </w:rPr>
        <w:t xml:space="preserve">an </w:t>
      </w:r>
      <w:r>
        <w:t>ei</w:t>
      </w:r>
      <w:r w:rsidR="000D6577">
        <w:t>ne</w:t>
      </w:r>
      <w:r>
        <w:t xml:space="preserve"> be</w:t>
      </w:r>
      <w:r w:rsidR="000D6577">
        <w:t>stimmte Anzahl Sicherheitsangestellte</w:t>
      </w:r>
      <w:r>
        <w:t xml:space="preserve"> zu </w:t>
      </w:r>
      <w:r w:rsidR="000D6577">
        <w:t>knüpfen</w:t>
      </w:r>
      <w:r>
        <w:t>.</w:t>
      </w:r>
    </w:p>
    <w:p w:rsidR="00BE4728" w:rsidRDefault="00BE4728" w:rsidP="00BE4728"/>
    <w:p w:rsidR="00F13653" w:rsidRPr="00024EC7" w:rsidRDefault="00F13653" w:rsidP="00F13653">
      <w:pPr>
        <w:spacing w:after="120"/>
        <w:rPr>
          <w:i/>
        </w:rPr>
      </w:pPr>
      <w:r w:rsidRPr="00024EC7">
        <w:rPr>
          <w:i/>
        </w:rPr>
        <w:t>Abs</w:t>
      </w:r>
      <w:r>
        <w:rPr>
          <w:i/>
        </w:rPr>
        <w:t>atz 2</w:t>
      </w:r>
    </w:p>
    <w:p w:rsidR="00F13653" w:rsidRPr="00F13653" w:rsidRDefault="00F13653" w:rsidP="00F13653">
      <w:r>
        <w:t xml:space="preserve">Diese Bestimmung stellt klar, dass alle </w:t>
      </w:r>
      <w:r w:rsidRPr="00F13653">
        <w:t>Sicherheitsangestellte</w:t>
      </w:r>
      <w:r>
        <w:t>n</w:t>
      </w:r>
      <w:r w:rsidRPr="00F13653">
        <w:t xml:space="preserve"> in einem Sicherheitsunte</w:t>
      </w:r>
      <w:r w:rsidRPr="00F13653">
        <w:t>r</w:t>
      </w:r>
      <w:r w:rsidRPr="00F13653">
        <w:t xml:space="preserve">nehmen arbeiten </w:t>
      </w:r>
      <w:r>
        <w:t xml:space="preserve">müssen </w:t>
      </w:r>
      <w:r w:rsidRPr="00F13653">
        <w:t>– auch Einmannbetriebe brauchen eine Bewilligung als Siche</w:t>
      </w:r>
      <w:r w:rsidRPr="00F13653">
        <w:t>r</w:t>
      </w:r>
      <w:r w:rsidRPr="00F13653">
        <w:t>heitsunternehmen.</w:t>
      </w:r>
    </w:p>
    <w:p w:rsidR="00F13653" w:rsidRDefault="00F13653" w:rsidP="00BE4728"/>
    <w:p w:rsidR="00F13653" w:rsidRPr="00024EC7" w:rsidRDefault="00F13653" w:rsidP="00F13653">
      <w:pPr>
        <w:spacing w:after="120"/>
        <w:rPr>
          <w:i/>
        </w:rPr>
      </w:pPr>
      <w:r w:rsidRPr="00024EC7">
        <w:rPr>
          <w:i/>
        </w:rPr>
        <w:t>Abs</w:t>
      </w:r>
      <w:r>
        <w:rPr>
          <w:i/>
        </w:rPr>
        <w:t>atz 3</w:t>
      </w:r>
    </w:p>
    <w:p w:rsidR="00C877E7" w:rsidRPr="00C877E7" w:rsidRDefault="00C877E7" w:rsidP="00C877E7">
      <w:r>
        <w:t xml:space="preserve">Absatz 3 beinhaltet eine Ausnahmebestimmung für gewisse Sicherheitsdienstleistungen, welche betriebsintern erbracht werden. Mit dieser Bestimmung </w:t>
      </w:r>
      <w:r w:rsidRPr="00C877E7">
        <w:t xml:space="preserve">wird verhindert, dass </w:t>
      </w:r>
      <w:r>
        <w:t>Pers</w:t>
      </w:r>
      <w:r>
        <w:t>o</w:t>
      </w:r>
      <w:r>
        <w:t xml:space="preserve">nen, welche nur </w:t>
      </w:r>
      <w:r w:rsidR="00940586">
        <w:t xml:space="preserve">in geringem Umfang </w:t>
      </w:r>
      <w:r>
        <w:t>eine</w:t>
      </w:r>
      <w:r w:rsidR="00940586">
        <w:t xml:space="preserve"> Sicherheitsaufgabe</w:t>
      </w:r>
      <w:r>
        <w:t xml:space="preserve"> </w:t>
      </w:r>
      <w:r w:rsidR="00940586">
        <w:t>wahrnehmen, der Bewill</w:t>
      </w:r>
      <w:r w:rsidR="00940586">
        <w:t>i</w:t>
      </w:r>
      <w:r w:rsidR="00940586">
        <w:t>gungspflicht unterliegen. Die Ausnahmen von der Bewilligungspflicht werden gemäss Art. 17 Abs. 1 Bst. b durch die KKJPD beschlossen.</w:t>
      </w:r>
    </w:p>
    <w:p w:rsidR="00F13653" w:rsidRDefault="00F13653" w:rsidP="00BE4728"/>
    <w:p w:rsidR="00854CAF" w:rsidRDefault="00854CAF" w:rsidP="00BE4728"/>
    <w:p w:rsidR="00BE4728" w:rsidRPr="00D429E9" w:rsidRDefault="00D429E9" w:rsidP="00D429E9">
      <w:pPr>
        <w:spacing w:after="120"/>
        <w:rPr>
          <w:i/>
        </w:rPr>
      </w:pPr>
      <w:r w:rsidRPr="00D429E9">
        <w:rPr>
          <w:b/>
          <w:i/>
        </w:rPr>
        <w:t xml:space="preserve">Zu </w:t>
      </w:r>
      <w:r w:rsidR="00BE4728" w:rsidRPr="00D429E9">
        <w:rPr>
          <w:b/>
          <w:i/>
        </w:rPr>
        <w:t>Artikel 5</w:t>
      </w:r>
    </w:p>
    <w:p w:rsidR="006C6F08" w:rsidRPr="00024EC7" w:rsidRDefault="006C6F08" w:rsidP="006C6F08">
      <w:pPr>
        <w:spacing w:after="120"/>
        <w:rPr>
          <w:i/>
        </w:rPr>
      </w:pPr>
      <w:r w:rsidRPr="00024EC7">
        <w:rPr>
          <w:i/>
        </w:rPr>
        <w:t>Abs</w:t>
      </w:r>
      <w:r>
        <w:rPr>
          <w:i/>
        </w:rPr>
        <w:t>atz</w:t>
      </w:r>
      <w:r w:rsidRPr="00024EC7">
        <w:rPr>
          <w:i/>
        </w:rPr>
        <w:t xml:space="preserve"> 1</w:t>
      </w:r>
    </w:p>
    <w:p w:rsidR="007429D3" w:rsidRDefault="007429D3" w:rsidP="006C6F08">
      <w:r>
        <w:t>Wer die Bewilligung als Sicherheitsangestellter erhalten will, muss die im Konkordat g</w:t>
      </w:r>
      <w:r>
        <w:t>e</w:t>
      </w:r>
      <w:r>
        <w:t xml:space="preserve">nannten </w:t>
      </w:r>
      <w:r w:rsidR="006C6F08" w:rsidRPr="0039202E">
        <w:t xml:space="preserve">persönlichen Voraussetzungen </w:t>
      </w:r>
      <w:r>
        <w:t>erfüllen. Zudem muss eine theoretische Grundau</w:t>
      </w:r>
      <w:r>
        <w:t>s</w:t>
      </w:r>
      <w:r>
        <w:t xml:space="preserve">bildung </w:t>
      </w:r>
      <w:r w:rsidR="002420F9">
        <w:t xml:space="preserve">mit Abschlussprüfung erfolgreich </w:t>
      </w:r>
      <w:r>
        <w:t xml:space="preserve">absolviert werden. In Buchstabe </w:t>
      </w:r>
      <w:r w:rsidR="000B279A">
        <w:t>d wurde</w:t>
      </w:r>
      <w:r>
        <w:t xml:space="preserve"> </w:t>
      </w:r>
      <w:r w:rsidR="000B279A">
        <w:t>eine ei</w:t>
      </w:r>
      <w:r w:rsidR="000B279A">
        <w:t>n</w:t>
      </w:r>
      <w:r w:rsidR="000B279A">
        <w:t>fache Regel zur Überprüfung des kriminellen Vorlebens festgeschrieben. Buchstabe e e</w:t>
      </w:r>
      <w:r w:rsidR="000B279A">
        <w:t>r</w:t>
      </w:r>
      <w:r w:rsidR="000B279A">
        <w:t>laubt es, Erkenntnisse aus we</w:t>
      </w:r>
      <w:r w:rsidR="000B279A">
        <w:t>i</w:t>
      </w:r>
      <w:r w:rsidR="000B279A">
        <w:t>teren Quellen in den Bewilligungsentscheid einzubeziehen.</w:t>
      </w:r>
    </w:p>
    <w:p w:rsidR="002F1D1A" w:rsidRDefault="002F1D1A" w:rsidP="006C6F08"/>
    <w:p w:rsidR="002F1D1A" w:rsidRDefault="002F1D1A" w:rsidP="006C6F08">
      <w:r w:rsidRPr="002F1D1A">
        <w:t xml:space="preserve">Weder das Strafgesetzbuch noch die VOSTRA-Verordnung enthalten eine rechtliche Grundlage dafür, dass die Bewilligungsbehörde bzw. die entsprechende Kantonspolizei zwecks Prüfung der Voraussetzungen für die Erteilung einer Bewilligung Einblick in das schweizerische Strafregister VOSTRA nehmen dürfen. </w:t>
      </w:r>
      <w:r w:rsidR="004A7DCE">
        <w:t>Der Gesuchsteller kann m</w:t>
      </w:r>
      <w:r>
        <w:t xml:space="preserve">it </w:t>
      </w:r>
      <w:r w:rsidR="004A7DCE">
        <w:t xml:space="preserve">einem </w:t>
      </w:r>
      <w:r>
        <w:t xml:space="preserve">Strafregisterauszug für Privatpersonen </w:t>
      </w:r>
      <w:r w:rsidR="004A7DCE">
        <w:t>die in Absatz 1 Buchstabe d genannten Informati</w:t>
      </w:r>
      <w:r w:rsidR="004A7DCE">
        <w:t>o</w:t>
      </w:r>
      <w:r w:rsidR="004A7DCE">
        <w:t>nen liefern</w:t>
      </w:r>
      <w:r>
        <w:t xml:space="preserve">. </w:t>
      </w:r>
      <w:r w:rsidR="004A7DCE">
        <w:t xml:space="preserve">Da sich der </w:t>
      </w:r>
      <w:r w:rsidR="00C85AEB">
        <w:t>Strafregisterauszug für Privatpersonen auf Verurteilungen b</w:t>
      </w:r>
      <w:r w:rsidR="00C85AEB">
        <w:t>e</w:t>
      </w:r>
      <w:r w:rsidR="00C85AEB">
        <w:t xml:space="preserve">schränkt und keine Angaben über </w:t>
      </w:r>
      <w:r w:rsidRPr="002F1D1A">
        <w:t>hängige Strafverfahren</w:t>
      </w:r>
      <w:r w:rsidR="00C85AEB">
        <w:t xml:space="preserve"> enthält, ist die Bestimmung von Absatz 1 Buchstabe e wichtig. Diese Bestimmung erlaubt es den Bewilligungsbehörden, Polizeidatenbanken </w:t>
      </w:r>
      <w:r w:rsidR="000D0421">
        <w:t xml:space="preserve">sowie die Liste gemäss Art. 17 Abs. 5 </w:t>
      </w:r>
      <w:r w:rsidR="00C85AEB">
        <w:t xml:space="preserve">zu konsultieren. Damit entsteht ein umfassenderes Bild über </w:t>
      </w:r>
      <w:r w:rsidR="0020399A">
        <w:t>das kriminelle</w:t>
      </w:r>
      <w:r w:rsidR="00C85AEB">
        <w:t xml:space="preserve"> </w:t>
      </w:r>
      <w:r w:rsidR="0020399A">
        <w:t xml:space="preserve">Vorleben des </w:t>
      </w:r>
      <w:r w:rsidR="00C85AEB">
        <w:t>Gesuchsteller</w:t>
      </w:r>
      <w:r w:rsidR="0020399A">
        <w:t>s</w:t>
      </w:r>
      <w:r w:rsidR="00C85AEB">
        <w:t>.</w:t>
      </w:r>
    </w:p>
    <w:p w:rsidR="007429D3" w:rsidRDefault="007429D3" w:rsidP="006C6F08"/>
    <w:p w:rsidR="00C97BB1" w:rsidRPr="00024EC7" w:rsidRDefault="00C97BB1" w:rsidP="00C97BB1">
      <w:pPr>
        <w:spacing w:after="120"/>
        <w:rPr>
          <w:i/>
        </w:rPr>
      </w:pPr>
      <w:r w:rsidRPr="00024EC7">
        <w:rPr>
          <w:i/>
        </w:rPr>
        <w:t>Abs</w:t>
      </w:r>
      <w:r>
        <w:rPr>
          <w:i/>
        </w:rPr>
        <w:t>atz 2</w:t>
      </w:r>
    </w:p>
    <w:p w:rsidR="007429D3" w:rsidRDefault="00C97BB1" w:rsidP="006C6F08">
      <w:r>
        <w:t>Ebenso wie die Sicherheitsangestellten müssen auch Personen, die ein Sicherheitsunte</w:t>
      </w:r>
      <w:r>
        <w:t>r</w:t>
      </w:r>
      <w:r>
        <w:t>nehmen oder eine Zweigniederlassung führen wollen, persönliche Voraussetzungen erfü</w:t>
      </w:r>
      <w:r>
        <w:t>l</w:t>
      </w:r>
      <w:r>
        <w:t xml:space="preserve">len und eine theoretische Grundausbildung </w:t>
      </w:r>
      <w:r w:rsidR="00D76ACF">
        <w:t xml:space="preserve">mit Abschlussprüfung erfolgreich </w:t>
      </w:r>
      <w:r>
        <w:t>absolvieren. Im Gegensatz zu Sicherheitsangestellten, bei welchen eine seit zwei Jahren vorliegende Aufenthaltsbewilligung genügt, wird bei Geschäftsführer von Sicherheitsunternehmen als Minimum eine Niederlassung</w:t>
      </w:r>
      <w:r w:rsidR="002342B4">
        <w:t>sbewilligung</w:t>
      </w:r>
      <w:r>
        <w:t xml:space="preserve"> verlangt.</w:t>
      </w:r>
      <w:r w:rsidR="002342B4">
        <w:t xml:space="preserve"> Die </w:t>
      </w:r>
      <w:r w:rsidR="002342B4" w:rsidRPr="002342B4">
        <w:rPr>
          <w:lang w:val="de-DE"/>
        </w:rPr>
        <w:t xml:space="preserve">theoretische Grundausbildung </w:t>
      </w:r>
      <w:r w:rsidR="002342B4">
        <w:rPr>
          <w:lang w:val="de-DE"/>
        </w:rPr>
        <w:t xml:space="preserve">weicht von jener der Sicherheitsangestellten ab und bezieht sich auf das </w:t>
      </w:r>
      <w:r w:rsidR="002342B4" w:rsidRPr="002342B4">
        <w:rPr>
          <w:lang w:val="de-DE"/>
        </w:rPr>
        <w:t>Führ</w:t>
      </w:r>
      <w:r w:rsidR="002342B4">
        <w:rPr>
          <w:lang w:val="de-DE"/>
        </w:rPr>
        <w:t>en</w:t>
      </w:r>
      <w:r w:rsidR="002342B4" w:rsidRPr="002342B4">
        <w:rPr>
          <w:lang w:val="de-DE"/>
        </w:rPr>
        <w:t xml:space="preserve"> eines Sicherheitsunternehmens</w:t>
      </w:r>
      <w:r w:rsidR="002342B4">
        <w:rPr>
          <w:lang w:val="de-DE"/>
        </w:rPr>
        <w:t>.</w:t>
      </w:r>
    </w:p>
    <w:p w:rsidR="007429D3" w:rsidRDefault="007429D3" w:rsidP="006C6F08"/>
    <w:p w:rsidR="002342B4" w:rsidRPr="00024EC7" w:rsidRDefault="002342B4" w:rsidP="002342B4">
      <w:pPr>
        <w:spacing w:after="120"/>
        <w:rPr>
          <w:i/>
        </w:rPr>
      </w:pPr>
      <w:r w:rsidRPr="00024EC7">
        <w:rPr>
          <w:i/>
        </w:rPr>
        <w:t>Abs</w:t>
      </w:r>
      <w:r>
        <w:rPr>
          <w:i/>
        </w:rPr>
        <w:t>atz 3</w:t>
      </w:r>
    </w:p>
    <w:p w:rsidR="00B0473D" w:rsidRPr="00FF61B4" w:rsidRDefault="00B0473D" w:rsidP="00B0473D">
      <w:r>
        <w:t xml:space="preserve">Für den Erhalt einer Betriebsbewilligung ist eine Betriebshaftpflichtversicherung </w:t>
      </w:r>
      <w:r w:rsidRPr="00803FD4">
        <w:t xml:space="preserve">mit einer Deckungssumme von mindestens drei Millionen Franken </w:t>
      </w:r>
      <w:r>
        <w:t>nötig. Zudem muss das Siche</w:t>
      </w:r>
      <w:r>
        <w:t>r</w:t>
      </w:r>
      <w:r>
        <w:t>heitsunternehmen dafür sorgen, dass das Personal sorgfältig und entsprechend dem jewe</w:t>
      </w:r>
      <w:r>
        <w:t>i</w:t>
      </w:r>
      <w:r>
        <w:t>ligen Einsatzbereich (</w:t>
      </w:r>
      <w:r w:rsidR="000D6577">
        <w:t>Zutrittskontrollen</w:t>
      </w:r>
      <w:r>
        <w:t xml:space="preserve">, Objektschutz, Werttransporte, etc.) ausgebildet und regelmässig weitergebildet wird. Diese Aus- und Weiterbildungspflicht ist in Artikel </w:t>
      </w:r>
      <w:r w:rsidR="00290A75">
        <w:t>11</w:t>
      </w:r>
      <w:r>
        <w:t xml:space="preserve"> fes</w:t>
      </w:r>
      <w:r>
        <w:t>t</w:t>
      </w:r>
      <w:r>
        <w:t>geschrieben.</w:t>
      </w:r>
    </w:p>
    <w:p w:rsidR="00BE4728" w:rsidRDefault="00BE4728" w:rsidP="00BE4728"/>
    <w:p w:rsidR="00D429E9" w:rsidRPr="000D014D" w:rsidRDefault="00D429E9" w:rsidP="00BE4728"/>
    <w:p w:rsidR="00CE2D61" w:rsidRDefault="002937E6" w:rsidP="00CE2D61">
      <w:pPr>
        <w:spacing w:after="120"/>
        <w:rPr>
          <w:b/>
          <w:i/>
        </w:rPr>
      </w:pPr>
      <w:r>
        <w:rPr>
          <w:b/>
          <w:i/>
        </w:rPr>
        <w:br w:type="page"/>
      </w:r>
      <w:r w:rsidR="00CE2D61" w:rsidRPr="00D429E9">
        <w:rPr>
          <w:b/>
          <w:i/>
        </w:rPr>
        <w:lastRenderedPageBreak/>
        <w:t xml:space="preserve">Zu Artikel </w:t>
      </w:r>
      <w:r w:rsidR="00CE2D61">
        <w:rPr>
          <w:b/>
          <w:i/>
        </w:rPr>
        <w:t>6</w:t>
      </w:r>
    </w:p>
    <w:p w:rsidR="007429D3" w:rsidRDefault="0025076F" w:rsidP="0025076F">
      <w:r>
        <w:t xml:space="preserve">Die Bewilligungspflicht für den Einsatz von </w:t>
      </w:r>
      <w:r w:rsidR="000D6577">
        <w:t>Diensth</w:t>
      </w:r>
      <w:r>
        <w:t>unden hat sich in der Westschweiz</w:t>
      </w:r>
      <w:r w:rsidRPr="0025076F">
        <w:t xml:space="preserve"> aus Sicherheitsgründen als unerlässlich erwiesen. Zahlreiche </w:t>
      </w:r>
      <w:r>
        <w:t>Sicherheitsangestellte</w:t>
      </w:r>
      <w:r w:rsidRPr="0025076F">
        <w:t xml:space="preserve"> setzen Hunde ein, um ihre Aufgaben erfolgreich zu erfüllen</w:t>
      </w:r>
      <w:r>
        <w:t xml:space="preserve">. </w:t>
      </w:r>
      <w:r w:rsidRPr="0025076F">
        <w:t xml:space="preserve">Die Öffentlichkeit im Allgemeinen und </w:t>
      </w:r>
      <w:r>
        <w:t xml:space="preserve">insbesondere </w:t>
      </w:r>
      <w:r w:rsidRPr="0025076F">
        <w:t xml:space="preserve">Personen, die den </w:t>
      </w:r>
      <w:r>
        <w:t xml:space="preserve">Sicherheitsangestellten </w:t>
      </w:r>
      <w:r w:rsidRPr="0025076F">
        <w:t xml:space="preserve">gegenüberstehen sind vor </w:t>
      </w:r>
      <w:r>
        <w:t>Hund</w:t>
      </w:r>
      <w:r>
        <w:t>e</w:t>
      </w:r>
      <w:r>
        <w:t>a</w:t>
      </w:r>
      <w:r w:rsidRPr="0025076F">
        <w:t>ngriffen zu schützen. Der Prüfungsinhalt soll im Wesentlichen den von den Hund</w:t>
      </w:r>
      <w:r w:rsidRPr="0025076F">
        <w:t>e</w:t>
      </w:r>
      <w:r w:rsidRPr="0025076F">
        <w:t>vereinen anerkannten Standardanforderungen entsprechen.</w:t>
      </w:r>
      <w:r w:rsidR="00821916">
        <w:t xml:space="preserve"> Die Konkordatskommission </w:t>
      </w:r>
      <w:r w:rsidR="00F529CD">
        <w:t xml:space="preserve">erlässt Empfehlungen zum </w:t>
      </w:r>
      <w:r w:rsidR="00821916">
        <w:t>Prüfungsinhalt.</w:t>
      </w:r>
      <w:r w:rsidR="004012EB">
        <w:t xml:space="preserve"> Die Kantone regeln die Prüfungen. Sie können die Pr</w:t>
      </w:r>
      <w:r w:rsidR="004012EB">
        <w:t>ü</w:t>
      </w:r>
      <w:r w:rsidR="004012EB">
        <w:t>fungen an Private delegieren.</w:t>
      </w:r>
    </w:p>
    <w:p w:rsidR="007429D3" w:rsidRDefault="007429D3" w:rsidP="00BE4728"/>
    <w:p w:rsidR="007429D3" w:rsidRDefault="007429D3" w:rsidP="00BE4728"/>
    <w:p w:rsidR="00024EC7" w:rsidRDefault="00024EC7" w:rsidP="00024EC7">
      <w:pPr>
        <w:spacing w:after="120"/>
        <w:rPr>
          <w:b/>
          <w:i/>
        </w:rPr>
      </w:pPr>
      <w:r w:rsidRPr="00D429E9">
        <w:rPr>
          <w:b/>
          <w:i/>
        </w:rPr>
        <w:t xml:space="preserve">Zu Artikel </w:t>
      </w:r>
      <w:r w:rsidR="00FF2BC4">
        <w:rPr>
          <w:b/>
          <w:i/>
        </w:rPr>
        <w:t>7</w:t>
      </w:r>
    </w:p>
    <w:p w:rsidR="00024EC7" w:rsidRPr="00024EC7" w:rsidRDefault="00024EC7" w:rsidP="00024EC7">
      <w:pPr>
        <w:spacing w:after="120"/>
        <w:rPr>
          <w:i/>
        </w:rPr>
      </w:pPr>
      <w:r w:rsidRPr="00024EC7">
        <w:rPr>
          <w:i/>
        </w:rPr>
        <w:t>Abs</w:t>
      </w:r>
      <w:r w:rsidR="008C1039">
        <w:rPr>
          <w:i/>
        </w:rPr>
        <w:t>atz</w:t>
      </w:r>
      <w:r w:rsidRPr="00024EC7">
        <w:rPr>
          <w:i/>
        </w:rPr>
        <w:t xml:space="preserve"> 1</w:t>
      </w:r>
    </w:p>
    <w:p w:rsidR="00FF61B4" w:rsidRDefault="008C1039" w:rsidP="00BE4728">
      <w:r>
        <w:t>Die Bewilligungen werden durch staatliche Stellen erteilt. Dabei erfolgt die Erteilung nicht durch ein Konkordatsgremium, sondern durch die einzelnen Kantone. Jeder Kanton, we</w:t>
      </w:r>
      <w:r>
        <w:t>l</w:t>
      </w:r>
      <w:r>
        <w:t>cher dem Konkordat beigetreten ist, bezeichnet die in seinem Kanton zuständ</w:t>
      </w:r>
      <w:r>
        <w:t>i</w:t>
      </w:r>
      <w:r>
        <w:t xml:space="preserve">ge Stelle. Die örtliche Zuständig für das Bewilligungsverfahren richtet sich nach dem Wohnsitz der </w:t>
      </w:r>
      <w:r w:rsidRPr="008C1039">
        <w:t>g</w:t>
      </w:r>
      <w:r w:rsidRPr="008C1039">
        <w:t>e</w:t>
      </w:r>
      <w:r w:rsidRPr="008C1039">
        <w:t xml:space="preserve">suchstellenden </w:t>
      </w:r>
      <w:r>
        <w:t xml:space="preserve">Person </w:t>
      </w:r>
      <w:r w:rsidR="002D2434">
        <w:t>und</w:t>
      </w:r>
      <w:r>
        <w:t xml:space="preserve"> nach dem Sitz des Unternehmens bzw. der Zweigniederla</w:t>
      </w:r>
      <w:r>
        <w:t>s</w:t>
      </w:r>
      <w:r>
        <w:t>sung.</w:t>
      </w:r>
      <w:r w:rsidR="00F8346D">
        <w:t xml:space="preserve"> Wohnsitz und Sitz müssen nicht zwingend im Konkordatsgebiet liegen (ein solches Erfordernis würde dem Freizügigkeitsabkommen Schweiz/EU widersprechen). </w:t>
      </w:r>
      <w:r w:rsidR="00F8346D" w:rsidRPr="00F8346D">
        <w:t>Falls der Wohnsitz bzw. der Sitz ausserhalb des Konkordatsgebiets lieg</w:t>
      </w:r>
      <w:r w:rsidR="00C739EC">
        <w:t>t</w:t>
      </w:r>
      <w:r w:rsidR="00F8346D" w:rsidRPr="00F8346D">
        <w:t>, ist die Behörde an jenem Ort des Konkordatsgebiets zuständig, wo erstmals Sicherheitsdienstleistungen erbracht werden.</w:t>
      </w:r>
    </w:p>
    <w:p w:rsidR="008C1039" w:rsidRPr="00FF61B4" w:rsidRDefault="008C1039" w:rsidP="00BE4728"/>
    <w:p w:rsidR="00FF61B4" w:rsidRPr="00FF61B4" w:rsidRDefault="00FF61B4" w:rsidP="00FF61B4">
      <w:pPr>
        <w:spacing w:after="120"/>
        <w:rPr>
          <w:i/>
        </w:rPr>
      </w:pPr>
      <w:r w:rsidRPr="00FF61B4">
        <w:rPr>
          <w:i/>
        </w:rPr>
        <w:t>Abs</w:t>
      </w:r>
      <w:r w:rsidR="002D2434">
        <w:rPr>
          <w:i/>
        </w:rPr>
        <w:t>atz</w:t>
      </w:r>
      <w:r w:rsidRPr="00FF61B4">
        <w:rPr>
          <w:i/>
        </w:rPr>
        <w:t xml:space="preserve"> 2</w:t>
      </w:r>
    </w:p>
    <w:p w:rsidR="002D2434" w:rsidRPr="00CD1890" w:rsidRDefault="002D2434" w:rsidP="006D158F">
      <w:r>
        <w:t xml:space="preserve">Art. 5 Abs. 1 Bst. d legt fest, dass die </w:t>
      </w:r>
      <w:r w:rsidRPr="008C1039">
        <w:t>ge</w:t>
      </w:r>
      <w:r>
        <w:t>suchstellende</w:t>
      </w:r>
      <w:r w:rsidRPr="008C1039">
        <w:t xml:space="preserve"> </w:t>
      </w:r>
      <w:r>
        <w:t xml:space="preserve">Person </w:t>
      </w:r>
      <w:r w:rsidR="0082668C">
        <w:t>k</w:t>
      </w:r>
      <w:r>
        <w:t>eine im Strafregisterauszug erscheinende Verurteilung wegen eines</w:t>
      </w:r>
      <w:r w:rsidRPr="00803FD4">
        <w:t xml:space="preserve"> Verbrechens oder Vergehens </w:t>
      </w:r>
      <w:r>
        <w:t>aufweisen darf. Durch diese Angaben ist das kriminelle Vorleben der Person jedoch noch nicht vollständig abgebildet. Weil Siche</w:t>
      </w:r>
      <w:r w:rsidR="00BC219D">
        <w:t xml:space="preserve">rheitsunternehmen und </w:t>
      </w:r>
      <w:r w:rsidR="00BC219D">
        <w:noBreakHyphen/>
        <w:t>angestellte</w:t>
      </w:r>
      <w:r>
        <w:t xml:space="preserve"> </w:t>
      </w:r>
      <w:r w:rsidR="00BC219D">
        <w:t xml:space="preserve">in einem sensiblen Bereich tätig sind und deshalb ein </w:t>
      </w:r>
      <w:r w:rsidR="0041422A">
        <w:t>reines</w:t>
      </w:r>
      <w:r w:rsidR="00BC219D">
        <w:t xml:space="preserve"> Vorleben haben sollen, erlaubt Art. 5 Abs. 1 Bst. e den Beizug weiterer Quellen. </w:t>
      </w:r>
      <w:r w:rsidR="00CD1890">
        <w:t xml:space="preserve">Wenn die </w:t>
      </w:r>
      <w:r w:rsidR="00CD1890" w:rsidRPr="00CD1890">
        <w:t>Bewilligungsb</w:t>
      </w:r>
      <w:r w:rsidR="00CD1890" w:rsidRPr="00CD1890">
        <w:t>e</w:t>
      </w:r>
      <w:r w:rsidR="00CD1890" w:rsidRPr="00CD1890">
        <w:t xml:space="preserve">hörden </w:t>
      </w:r>
      <w:r w:rsidR="00CD1890">
        <w:t>z</w:t>
      </w:r>
      <w:r w:rsidR="00CD1890" w:rsidRPr="00CD1890">
        <w:t xml:space="preserve">ur Prüfung der Eignung Auskunft über </w:t>
      </w:r>
      <w:r w:rsidR="00CD1890">
        <w:t xml:space="preserve">polizeiliche Daten </w:t>
      </w:r>
      <w:r w:rsidR="00CD1890" w:rsidRPr="00CD1890">
        <w:t xml:space="preserve">über die gesuchstellende Person </w:t>
      </w:r>
      <w:r w:rsidR="00CD1890">
        <w:t xml:space="preserve">verlangen, so müssen die </w:t>
      </w:r>
      <w:r w:rsidR="00CD1890" w:rsidRPr="00CD1890">
        <w:t>Polizeistellen der Konkordatska</w:t>
      </w:r>
      <w:r w:rsidR="00CD1890" w:rsidRPr="00CD1890">
        <w:t>n</w:t>
      </w:r>
      <w:r w:rsidR="00CD1890" w:rsidRPr="00CD1890">
        <w:t xml:space="preserve">tone </w:t>
      </w:r>
      <w:r w:rsidR="00CD1890">
        <w:t xml:space="preserve">aufgrund von Art. 7 Abs. 2 diese Auskunft </w:t>
      </w:r>
      <w:r w:rsidR="00CD1890" w:rsidRPr="00CD1890">
        <w:t>erteilen.</w:t>
      </w:r>
    </w:p>
    <w:p w:rsidR="002D2434" w:rsidRDefault="002D2434" w:rsidP="006D158F"/>
    <w:p w:rsidR="00CD1890" w:rsidRPr="00024EC7" w:rsidRDefault="00CD1890" w:rsidP="00CD1890">
      <w:pPr>
        <w:spacing w:after="120"/>
        <w:rPr>
          <w:i/>
        </w:rPr>
      </w:pPr>
      <w:r w:rsidRPr="00024EC7">
        <w:rPr>
          <w:i/>
        </w:rPr>
        <w:t>Abs</w:t>
      </w:r>
      <w:r>
        <w:rPr>
          <w:i/>
        </w:rPr>
        <w:t>atz</w:t>
      </w:r>
      <w:r w:rsidRPr="00024EC7">
        <w:rPr>
          <w:i/>
        </w:rPr>
        <w:t xml:space="preserve"> </w:t>
      </w:r>
      <w:r>
        <w:rPr>
          <w:i/>
        </w:rPr>
        <w:t>3</w:t>
      </w:r>
    </w:p>
    <w:p w:rsidR="002D2434" w:rsidRDefault="00CD1890" w:rsidP="006D158F">
      <w:r w:rsidRPr="00CD1890">
        <w:t>Für die Behandlung der Bewilligungsgesuche sind kostendeckende Gebühren zu entric</w:t>
      </w:r>
      <w:r w:rsidRPr="00CD1890">
        <w:t>h</w:t>
      </w:r>
      <w:r w:rsidRPr="00CD1890">
        <w:t>ten.</w:t>
      </w:r>
      <w:r w:rsidR="001A629B">
        <w:t xml:space="preserve"> Art. </w:t>
      </w:r>
      <w:r w:rsidR="00DF5EF1">
        <w:t>17</w:t>
      </w:r>
      <w:r w:rsidR="001A629B">
        <w:t xml:space="preserve"> Abs. 2 Bst. c sieht vor, dass d</w:t>
      </w:r>
      <w:r w:rsidR="001A629B" w:rsidRPr="001A629B">
        <w:t xml:space="preserve">ie Konkordatskommission für die einheitliche </w:t>
      </w:r>
      <w:r w:rsidR="001A629B">
        <w:t>G</w:t>
      </w:r>
      <w:r w:rsidR="001A629B">
        <w:t>e</w:t>
      </w:r>
      <w:r w:rsidR="001A629B">
        <w:t xml:space="preserve">bührenhöhe </w:t>
      </w:r>
      <w:r w:rsidR="001A629B" w:rsidRPr="001A629B">
        <w:t>in den Kantonen Empfehlungen e</w:t>
      </w:r>
      <w:r w:rsidR="001A629B" w:rsidRPr="001A629B">
        <w:t>r</w:t>
      </w:r>
      <w:r w:rsidR="001A629B" w:rsidRPr="001A629B">
        <w:t>lässt</w:t>
      </w:r>
      <w:r w:rsidR="001A629B">
        <w:t>.</w:t>
      </w:r>
    </w:p>
    <w:p w:rsidR="0082668C" w:rsidRDefault="0082668C" w:rsidP="0082668C"/>
    <w:p w:rsidR="0082668C" w:rsidRDefault="0082668C" w:rsidP="0082668C">
      <w:pPr>
        <w:spacing w:after="120"/>
      </w:pPr>
      <w:r w:rsidRPr="00024EC7">
        <w:rPr>
          <w:i/>
        </w:rPr>
        <w:t>Abs</w:t>
      </w:r>
      <w:r>
        <w:rPr>
          <w:i/>
        </w:rPr>
        <w:t>atz</w:t>
      </w:r>
      <w:r w:rsidRPr="00024EC7">
        <w:rPr>
          <w:i/>
        </w:rPr>
        <w:t xml:space="preserve"> </w:t>
      </w:r>
      <w:r>
        <w:rPr>
          <w:i/>
        </w:rPr>
        <w:t>4</w:t>
      </w:r>
    </w:p>
    <w:p w:rsidR="0082668C" w:rsidRDefault="004A396D" w:rsidP="0082668C">
      <w:r w:rsidRPr="004A396D">
        <w:t xml:space="preserve">Die Bewilligungsbehörden teilen </w:t>
      </w:r>
      <w:r w:rsidR="009F0B0E" w:rsidRPr="004A396D">
        <w:t>der Konkordatskommiss</w:t>
      </w:r>
      <w:r w:rsidR="009F0B0E" w:rsidRPr="004A396D">
        <w:t>i</w:t>
      </w:r>
      <w:r w:rsidR="009F0B0E" w:rsidRPr="004A396D">
        <w:t xml:space="preserve">on </w:t>
      </w:r>
      <w:r w:rsidRPr="004A396D">
        <w:t xml:space="preserve">sowohl die </w:t>
      </w:r>
      <w:r w:rsidR="002222CA">
        <w:t>gutheissenden</w:t>
      </w:r>
      <w:r w:rsidRPr="004A396D">
        <w:t xml:space="preserve"> als auch die </w:t>
      </w:r>
      <w:r w:rsidR="002222CA">
        <w:t xml:space="preserve">abschlägigen </w:t>
      </w:r>
      <w:r w:rsidRPr="004A396D">
        <w:t>En</w:t>
      </w:r>
      <w:r w:rsidRPr="004A396D">
        <w:t>t</w:t>
      </w:r>
      <w:r w:rsidRPr="004A396D">
        <w:t>scheide betreffend Erteilung oder Verlängerung einer Bewilligung mit.</w:t>
      </w:r>
      <w:r w:rsidR="007909CA">
        <w:t xml:space="preserve"> Analoges gilt bei Sanktionen gemäss Art. </w:t>
      </w:r>
      <w:r w:rsidR="00BF223E">
        <w:t>20</w:t>
      </w:r>
      <w:r w:rsidR="007909CA">
        <w:t>. Die Konkordatskommission</w:t>
      </w:r>
      <w:r w:rsidR="007909CA" w:rsidRPr="007909CA">
        <w:t xml:space="preserve"> führt </w:t>
      </w:r>
      <w:r>
        <w:t>eine</w:t>
      </w:r>
      <w:r>
        <w:t>r</w:t>
      </w:r>
      <w:r>
        <w:t xml:space="preserve">seits eine </w:t>
      </w:r>
      <w:r w:rsidRPr="004A396D">
        <w:t xml:space="preserve">Liste über </w:t>
      </w:r>
      <w:r w:rsidR="0091270A">
        <w:t>e</w:t>
      </w:r>
      <w:r w:rsidR="0091270A">
        <w:t>r</w:t>
      </w:r>
      <w:r w:rsidR="0091270A">
        <w:t>teilte</w:t>
      </w:r>
      <w:r w:rsidRPr="004A396D">
        <w:t xml:space="preserve"> Bewilligungen </w:t>
      </w:r>
      <w:r>
        <w:t xml:space="preserve">(Art. 17 Abs. 4) und andererseits </w:t>
      </w:r>
      <w:r w:rsidR="007909CA" w:rsidRPr="007909CA">
        <w:t xml:space="preserve">eine </w:t>
      </w:r>
      <w:r w:rsidRPr="004A396D">
        <w:t>Liste über Personen mit abgelehnter Bewilligung oder gegen die eine Sanktion gemäss Art. 20 ausg</w:t>
      </w:r>
      <w:r w:rsidRPr="004A396D">
        <w:t>e</w:t>
      </w:r>
      <w:r w:rsidRPr="004A396D">
        <w:t xml:space="preserve">sprochen wurde </w:t>
      </w:r>
      <w:r w:rsidR="007909CA">
        <w:t xml:space="preserve">(Art. 17 Abs. </w:t>
      </w:r>
      <w:r w:rsidR="00331A93">
        <w:t>5</w:t>
      </w:r>
      <w:r w:rsidR="007909CA">
        <w:t>)</w:t>
      </w:r>
      <w:r w:rsidR="007909CA" w:rsidRPr="007909CA">
        <w:t>.</w:t>
      </w:r>
    </w:p>
    <w:p w:rsidR="002D2434" w:rsidRDefault="002D2434" w:rsidP="006D158F"/>
    <w:p w:rsidR="001A629B" w:rsidRDefault="001A629B" w:rsidP="001A629B">
      <w:pPr>
        <w:spacing w:after="120"/>
      </w:pPr>
      <w:r w:rsidRPr="00024EC7">
        <w:rPr>
          <w:i/>
        </w:rPr>
        <w:t>Abs</w:t>
      </w:r>
      <w:r>
        <w:rPr>
          <w:i/>
        </w:rPr>
        <w:t>atz</w:t>
      </w:r>
      <w:r w:rsidRPr="00024EC7">
        <w:rPr>
          <w:i/>
        </w:rPr>
        <w:t xml:space="preserve"> </w:t>
      </w:r>
      <w:r w:rsidR="0082668C">
        <w:rPr>
          <w:i/>
        </w:rPr>
        <w:t>5</w:t>
      </w:r>
    </w:p>
    <w:p w:rsidR="00A10F3A" w:rsidRDefault="001A629B" w:rsidP="006D158F">
      <w:r w:rsidRPr="001A629B">
        <w:t>Bei den Bewilligungsgverfahren können sich die Bewilligungsbehörden administrativ durch die von der Konkordatskommission bezeichneten Branchenorganisationen unterstützen lassen.</w:t>
      </w:r>
      <w:r w:rsidR="00AE2A4F">
        <w:t xml:space="preserve"> Im Bereich der privaten Sicherheitsunternehmen und der Privatdetektive gibt es mehrere Branchenorganisationen. Die Konkordatskommission legt den </w:t>
      </w:r>
      <w:r w:rsidR="00AE2A4F" w:rsidRPr="00AE2A4F">
        <w:t>Umfang und Modal</w:t>
      </w:r>
      <w:r w:rsidR="00AE2A4F" w:rsidRPr="00AE2A4F">
        <w:t>i</w:t>
      </w:r>
      <w:r w:rsidR="00AE2A4F" w:rsidRPr="00AE2A4F">
        <w:t>täten der administrativen Unterstützung der Bewilligungsbehörden durch die Branchen-</w:t>
      </w:r>
      <w:r w:rsidR="00AE2A4F" w:rsidRPr="00AE2A4F">
        <w:lastRenderedPageBreak/>
        <w:t>organisationen</w:t>
      </w:r>
      <w:r w:rsidR="00AE2A4F">
        <w:t xml:space="preserve"> fest (Art. </w:t>
      </w:r>
      <w:r w:rsidR="00DF5EF1">
        <w:t>17</w:t>
      </w:r>
      <w:r w:rsidR="00AE2A4F">
        <w:t xml:space="preserve"> Abs. 2 Bst. d). </w:t>
      </w:r>
      <w:r w:rsidR="000D6577">
        <w:t>D</w:t>
      </w:r>
      <w:r w:rsidR="00AE2A4F">
        <w:t>ie Idee</w:t>
      </w:r>
      <w:r w:rsidR="000D6577">
        <w:t xml:space="preserve"> ist</w:t>
      </w:r>
      <w:r w:rsidR="00AE2A4F">
        <w:t xml:space="preserve">, dass die KKJPD auf Antrag der Konkordatskommission </w:t>
      </w:r>
      <w:r w:rsidR="00072E97">
        <w:t xml:space="preserve">zwar </w:t>
      </w:r>
      <w:r w:rsidR="00AE2A4F" w:rsidRPr="00AE2A4F">
        <w:t>den Inhalt der theoretischen Grundausbildung nach Art. 5 Abs. 1 Bst. c und Abs. 2 Bst. c</w:t>
      </w:r>
      <w:r w:rsidR="00AE2A4F">
        <w:t xml:space="preserve"> festlegt (Art. </w:t>
      </w:r>
      <w:r w:rsidR="00DF5EF1">
        <w:t>17</w:t>
      </w:r>
      <w:r w:rsidR="00AE2A4F">
        <w:t xml:space="preserve"> Abs. 1 Bst. </w:t>
      </w:r>
      <w:r w:rsidR="004A6E8F">
        <w:t>c</w:t>
      </w:r>
      <w:r w:rsidR="00AE2A4F">
        <w:t xml:space="preserve">), </w:t>
      </w:r>
      <w:r w:rsidR="00072E97">
        <w:t xml:space="preserve">jedoch </w:t>
      </w:r>
      <w:r w:rsidR="00AE2A4F">
        <w:t xml:space="preserve">die Durchführung </w:t>
      </w:r>
      <w:r w:rsidR="00072E97">
        <w:t xml:space="preserve">der </w:t>
      </w:r>
      <w:r w:rsidR="00AE2A4F">
        <w:t>the</w:t>
      </w:r>
      <w:r w:rsidR="00AE2A4F">
        <w:t>o</w:t>
      </w:r>
      <w:r w:rsidR="00AE2A4F">
        <w:t>retischen Grundausbildung und der Theorieprüfung an Branchenorganisationen über</w:t>
      </w:r>
      <w:r w:rsidR="00072E97">
        <w:t>tr</w:t>
      </w:r>
      <w:r w:rsidR="000D6577">
        <w:t>ägt</w:t>
      </w:r>
      <w:r w:rsidR="00072E97">
        <w:t xml:space="preserve"> </w:t>
      </w:r>
      <w:r w:rsidR="00111714">
        <w:t xml:space="preserve">(Art. </w:t>
      </w:r>
      <w:r w:rsidR="00DF5EF1">
        <w:t>18</w:t>
      </w:r>
      <w:r w:rsidR="00111714">
        <w:t>)</w:t>
      </w:r>
      <w:r w:rsidR="00072E97">
        <w:t xml:space="preserve">. Die Branchenorganisationen </w:t>
      </w:r>
      <w:r w:rsidR="000D6577">
        <w:t xml:space="preserve">sollen </w:t>
      </w:r>
      <w:r w:rsidR="00EA34B5">
        <w:t xml:space="preserve">von den </w:t>
      </w:r>
      <w:r w:rsidR="00EA34B5" w:rsidRPr="008C1039">
        <w:t xml:space="preserve">gesuchstellenden </w:t>
      </w:r>
      <w:r w:rsidR="00EA34B5">
        <w:t xml:space="preserve">Personen </w:t>
      </w:r>
      <w:r w:rsidR="00072E97">
        <w:t>die Be</w:t>
      </w:r>
      <w:r w:rsidR="00072E97">
        <w:t>s</w:t>
      </w:r>
      <w:r w:rsidR="00072E97">
        <w:t xml:space="preserve">tätigung über </w:t>
      </w:r>
      <w:r w:rsidR="00EA34B5">
        <w:t>die</w:t>
      </w:r>
      <w:r w:rsidR="00072E97">
        <w:t xml:space="preserve"> bestandene Prüfung </w:t>
      </w:r>
      <w:r w:rsidR="00EA34B5">
        <w:t xml:space="preserve">und die </w:t>
      </w:r>
      <w:r w:rsidR="00072E97">
        <w:t xml:space="preserve">von der Konkordatskommission bestimmten Unterlagen (Art. </w:t>
      </w:r>
      <w:r w:rsidR="00DF5EF1">
        <w:t>17</w:t>
      </w:r>
      <w:r w:rsidR="00072E97">
        <w:t xml:space="preserve"> Abs. 2 Bst. a) </w:t>
      </w:r>
      <w:r w:rsidR="00EA34B5">
        <w:t>den Bewilligungsbehörden einrei</w:t>
      </w:r>
      <w:r w:rsidR="00A10F3A">
        <w:t>chen. Bei diesem Vo</w:t>
      </w:r>
      <w:r w:rsidR="00A10F3A">
        <w:t>r</w:t>
      </w:r>
      <w:r w:rsidR="00A10F3A">
        <w:t>gang ist der Datenschutz sichergestellt, indem die Branchenorganisationen keine eigene Datensammlung aufbauen, sondern die Unterlagen bloss weiterre</w:t>
      </w:r>
      <w:r w:rsidR="00A10F3A">
        <w:t>i</w:t>
      </w:r>
      <w:r w:rsidR="00A10F3A">
        <w:t>chen.</w:t>
      </w:r>
    </w:p>
    <w:p w:rsidR="00A10F3A" w:rsidRDefault="00A10F3A" w:rsidP="006D158F"/>
    <w:p w:rsidR="001A629B" w:rsidRDefault="00EA34B5" w:rsidP="006D158F">
      <w:r>
        <w:t xml:space="preserve">Mit </w:t>
      </w:r>
      <w:r w:rsidR="00A10F3A">
        <w:t xml:space="preserve">der beschriebenen </w:t>
      </w:r>
      <w:r>
        <w:t xml:space="preserve">Auslagerung des Vorverfahrens </w:t>
      </w:r>
      <w:r w:rsidR="000D6577">
        <w:t>werden</w:t>
      </w:r>
      <w:r>
        <w:t xml:space="preserve"> die Bewilligungsbehörden</w:t>
      </w:r>
      <w:r w:rsidRPr="00EA34B5">
        <w:t xml:space="preserve"> </w:t>
      </w:r>
      <w:r>
        <w:t>administrativ</w:t>
      </w:r>
      <w:r w:rsidR="001671DE">
        <w:t xml:space="preserve"> stark entlastet. Gleichzeitig behalten die Bewilligungsbehörden die volle En</w:t>
      </w:r>
      <w:r w:rsidR="001671DE">
        <w:t>t</w:t>
      </w:r>
      <w:r w:rsidR="001671DE">
        <w:t>scheidkompetenz.</w:t>
      </w:r>
    </w:p>
    <w:p w:rsidR="00723C86" w:rsidRDefault="00723C86" w:rsidP="00BE4728"/>
    <w:p w:rsidR="000F7587" w:rsidRPr="00723C86" w:rsidRDefault="000F7587" w:rsidP="00BE4728"/>
    <w:p w:rsidR="0093402F" w:rsidRDefault="0093402F" w:rsidP="0093402F">
      <w:pPr>
        <w:spacing w:after="120"/>
        <w:rPr>
          <w:b/>
          <w:i/>
        </w:rPr>
      </w:pPr>
      <w:r w:rsidRPr="00D429E9">
        <w:rPr>
          <w:b/>
          <w:i/>
        </w:rPr>
        <w:t xml:space="preserve">Zu Artikel </w:t>
      </w:r>
      <w:r>
        <w:rPr>
          <w:b/>
          <w:i/>
        </w:rPr>
        <w:t>8</w:t>
      </w:r>
    </w:p>
    <w:p w:rsidR="008D2AC3" w:rsidRPr="005E13DB" w:rsidRDefault="008D2AC3" w:rsidP="008D2AC3">
      <w:pPr>
        <w:spacing w:after="120"/>
        <w:rPr>
          <w:rFonts w:cs="Arial"/>
          <w:i/>
        </w:rPr>
      </w:pPr>
      <w:r>
        <w:rPr>
          <w:rFonts w:cs="Arial"/>
          <w:i/>
        </w:rPr>
        <w:t>Absatz 1</w:t>
      </w:r>
    </w:p>
    <w:p w:rsidR="008D2AC3" w:rsidRDefault="00A10F3A" w:rsidP="00A10F3A">
      <w:r>
        <w:t>Am Ende des Bewilligungsverfahrens steht die Erteilung der Bewilligung und das Ausste</w:t>
      </w:r>
      <w:r>
        <w:t>l</w:t>
      </w:r>
      <w:r>
        <w:t xml:space="preserve">len </w:t>
      </w:r>
      <w:r w:rsidR="008500DA">
        <w:t xml:space="preserve">eines amtlichen </w:t>
      </w:r>
      <w:r w:rsidRPr="001671DE">
        <w:t>Legitimationsausweis</w:t>
      </w:r>
      <w:r>
        <w:t>es.</w:t>
      </w:r>
      <w:r w:rsidR="002F07FD">
        <w:t xml:space="preserve"> Die kantonalen Bewilligungsbehörden bestimmen, wem ein amtlicher Legitimationsausweis ausgestellt wird. Der eigentliche Herstellungspr</w:t>
      </w:r>
      <w:r w:rsidR="002F07FD">
        <w:t>o</w:t>
      </w:r>
      <w:r w:rsidR="002F07FD">
        <w:t xml:space="preserve">zess des Legitimationsausweises kann jedoch </w:t>
      </w:r>
      <w:r w:rsidR="00403EB3">
        <w:t>Branchenorganis</w:t>
      </w:r>
      <w:r w:rsidR="00403EB3">
        <w:t>a</w:t>
      </w:r>
      <w:r w:rsidR="00403EB3">
        <w:t xml:space="preserve">tionen </w:t>
      </w:r>
      <w:r w:rsidR="002F07FD">
        <w:t xml:space="preserve">in Auftrag gegeben werden. </w:t>
      </w:r>
      <w:r w:rsidR="00544A84">
        <w:t>Der Herstellungsprozess und der daran anschliessende Versand ist ein techn</w:t>
      </w:r>
      <w:r w:rsidR="00544A84">
        <w:t>i</w:t>
      </w:r>
      <w:r w:rsidR="00544A84">
        <w:t>scher Vorgang, welcher keiner Datensammlung bedarf.</w:t>
      </w:r>
    </w:p>
    <w:p w:rsidR="008D2AC3" w:rsidRDefault="008D2AC3" w:rsidP="008D2AC3"/>
    <w:p w:rsidR="008D2AC3" w:rsidRPr="006F5D7B" w:rsidRDefault="008D2AC3" w:rsidP="008D2AC3">
      <w:r w:rsidRPr="006F5D7B">
        <w:t xml:space="preserve">Eine in einem Konkordatskanton erteilte Bewilligung </w:t>
      </w:r>
      <w:r>
        <w:t>gilt für das ganze Konkordatsg</w:t>
      </w:r>
      <w:r>
        <w:t>e</w:t>
      </w:r>
      <w:r>
        <w:t xml:space="preserve">biet. </w:t>
      </w:r>
      <w:r w:rsidRPr="006F5D7B">
        <w:t xml:space="preserve">Bewilligungen nach Art. 4 Bst. a, b und d </w:t>
      </w:r>
      <w:r>
        <w:t>und die entsprechenden Legitimationsauswe</w:t>
      </w:r>
      <w:r>
        <w:t>i</w:t>
      </w:r>
      <w:r>
        <w:t xml:space="preserve">se sind </w:t>
      </w:r>
      <w:r w:rsidRPr="006F5D7B">
        <w:t xml:space="preserve">nicht an ein bestimmtes Sicherheitsunternehmen </w:t>
      </w:r>
      <w:r>
        <w:t>geknüpft. Sie bleiben</w:t>
      </w:r>
      <w:r w:rsidRPr="006F5D7B">
        <w:t xml:space="preserve"> während der vorgesehenen Gültigkeitsdauer auch bei einem Stellenwechsel oder bei e</w:t>
      </w:r>
      <w:r w:rsidRPr="006F5D7B">
        <w:t>i</w:t>
      </w:r>
      <w:r w:rsidRPr="006F5D7B">
        <w:t>nem Einsatz für ein anderes Unterne</w:t>
      </w:r>
      <w:r w:rsidRPr="006F5D7B">
        <w:t>h</w:t>
      </w:r>
      <w:r w:rsidRPr="006F5D7B">
        <w:t xml:space="preserve">men gültig. </w:t>
      </w:r>
    </w:p>
    <w:p w:rsidR="008D2AC3" w:rsidRDefault="008D2AC3" w:rsidP="00A10F3A"/>
    <w:p w:rsidR="008D2AC3" w:rsidRPr="00FF61B4" w:rsidRDefault="008D2AC3" w:rsidP="008D2AC3">
      <w:pPr>
        <w:spacing w:after="120"/>
        <w:rPr>
          <w:i/>
        </w:rPr>
      </w:pPr>
      <w:r w:rsidRPr="00FF61B4">
        <w:rPr>
          <w:i/>
        </w:rPr>
        <w:t>Abs</w:t>
      </w:r>
      <w:r>
        <w:rPr>
          <w:i/>
        </w:rPr>
        <w:t>atz</w:t>
      </w:r>
      <w:r w:rsidRPr="00FF61B4">
        <w:rPr>
          <w:i/>
        </w:rPr>
        <w:t xml:space="preserve"> 2</w:t>
      </w:r>
    </w:p>
    <w:p w:rsidR="008D2AC3" w:rsidRDefault="007A74CC" w:rsidP="00A10F3A">
      <w:r>
        <w:t xml:space="preserve">Die Gültigkeitsdauer </w:t>
      </w:r>
      <w:r w:rsidR="000B2387">
        <w:t xml:space="preserve">der Legitimationsausweise </w:t>
      </w:r>
      <w:r>
        <w:t>beträgt drei Jahre</w:t>
      </w:r>
      <w:r w:rsidR="008D2AC3">
        <w:t>.</w:t>
      </w:r>
      <w:r>
        <w:t xml:space="preserve"> </w:t>
      </w:r>
      <w:r w:rsidR="008D2AC3">
        <w:t>D</w:t>
      </w:r>
      <w:r>
        <w:t>as Ablaufdatum ist auf den Aus</w:t>
      </w:r>
      <w:r w:rsidR="005440C8">
        <w:t>weisen aufge</w:t>
      </w:r>
      <w:r w:rsidR="008D2AC3">
        <w:t>druckt.</w:t>
      </w:r>
    </w:p>
    <w:p w:rsidR="000F7587" w:rsidRPr="006F5D7B" w:rsidRDefault="000F7587" w:rsidP="000F7587"/>
    <w:p w:rsidR="000F7587" w:rsidRPr="006F5D7B" w:rsidRDefault="000F7587" w:rsidP="000F7587"/>
    <w:p w:rsidR="00A94F79" w:rsidRDefault="00A94F79" w:rsidP="00A94F79">
      <w:pPr>
        <w:spacing w:after="120"/>
        <w:rPr>
          <w:b/>
          <w:i/>
        </w:rPr>
      </w:pPr>
      <w:r w:rsidRPr="00D429E9">
        <w:rPr>
          <w:b/>
          <w:i/>
        </w:rPr>
        <w:t xml:space="preserve">Zu Artikel </w:t>
      </w:r>
      <w:r>
        <w:rPr>
          <w:b/>
          <w:i/>
        </w:rPr>
        <w:t>9</w:t>
      </w:r>
    </w:p>
    <w:p w:rsidR="008B6664" w:rsidRDefault="00215A4F" w:rsidP="00BE4728">
      <w:r>
        <w:t xml:space="preserve">Zu jeder staatlich bewilligten Tätigkeit gehören staatliche Kontrollmöglichkeiten. </w:t>
      </w:r>
      <w:r w:rsidR="008B6664" w:rsidRPr="008B6664">
        <w:t>Die Bewill</w:t>
      </w:r>
      <w:r w:rsidR="008B6664" w:rsidRPr="008B6664">
        <w:t>i</w:t>
      </w:r>
      <w:r w:rsidR="008B6664" w:rsidRPr="008B6664">
        <w:t>gungsbehörde am Sitz eines Sicherheitsunternehmens oder einer Zweigniederlassung überwacht die Einhaltung des Konkordats.</w:t>
      </w:r>
      <w:r w:rsidR="008B6664">
        <w:t xml:space="preserve"> </w:t>
      </w:r>
      <w:r w:rsidRPr="00215A4F">
        <w:t>Sie kann in den Räumlichkeiten des Unterne</w:t>
      </w:r>
      <w:r w:rsidRPr="00215A4F">
        <w:t>h</w:t>
      </w:r>
      <w:r w:rsidRPr="00215A4F">
        <w:t xml:space="preserve">mens oder der Zweigniederlassung </w:t>
      </w:r>
      <w:r w:rsidR="00861927">
        <w:t xml:space="preserve">oder an den Einsatzorten </w:t>
      </w:r>
      <w:r w:rsidRPr="00215A4F">
        <w:t>Kontrollen vornehmen.</w:t>
      </w:r>
    </w:p>
    <w:p w:rsidR="008B6664" w:rsidRDefault="008B6664" w:rsidP="00BE4728"/>
    <w:p w:rsidR="00BE4728" w:rsidRDefault="00BE4728" w:rsidP="00BE4728">
      <w:pPr>
        <w:rPr>
          <w:b/>
        </w:rPr>
      </w:pPr>
    </w:p>
    <w:p w:rsidR="00DF5EF1" w:rsidRDefault="00DF5EF1" w:rsidP="00DF5EF1">
      <w:pPr>
        <w:spacing w:after="120"/>
        <w:rPr>
          <w:b/>
          <w:i/>
        </w:rPr>
      </w:pPr>
      <w:r w:rsidRPr="00D429E9">
        <w:rPr>
          <w:b/>
          <w:i/>
        </w:rPr>
        <w:t xml:space="preserve">Zu Artikel </w:t>
      </w:r>
      <w:r w:rsidR="00290A75">
        <w:rPr>
          <w:b/>
          <w:i/>
        </w:rPr>
        <w:t>10</w:t>
      </w:r>
    </w:p>
    <w:p w:rsidR="00DF5EF1" w:rsidRDefault="00DF5EF1" w:rsidP="00DF5EF1">
      <w:pPr>
        <w:rPr>
          <w:rFonts w:cs="Arial"/>
        </w:rPr>
      </w:pPr>
      <w:r>
        <w:rPr>
          <w:rFonts w:cs="Arial"/>
        </w:rPr>
        <w:t>Beim Erbringen von Sicherheitsdienstleistungen durch Private ist das staatliche Gewaltm</w:t>
      </w:r>
      <w:r>
        <w:rPr>
          <w:rFonts w:cs="Arial"/>
        </w:rPr>
        <w:t>o</w:t>
      </w:r>
      <w:r>
        <w:rPr>
          <w:rFonts w:cs="Arial"/>
        </w:rPr>
        <w:t xml:space="preserve">nopol zu beachten. Den Privaten </w:t>
      </w:r>
      <w:r w:rsidRPr="0014152D">
        <w:rPr>
          <w:rFonts w:cs="Arial"/>
        </w:rPr>
        <w:t>steht wegen des staatlichen Gewaltmonopols grundsät</w:t>
      </w:r>
      <w:r w:rsidRPr="0014152D">
        <w:rPr>
          <w:rFonts w:cs="Arial"/>
        </w:rPr>
        <w:t>z</w:t>
      </w:r>
      <w:r w:rsidRPr="0014152D">
        <w:rPr>
          <w:rFonts w:cs="Arial"/>
        </w:rPr>
        <w:t>lich keine Gewaltbefugnis zu. Von diesem Grundsatz gibt es einige eng begrenzte Au</w:t>
      </w:r>
      <w:r w:rsidRPr="0014152D">
        <w:rPr>
          <w:rFonts w:cs="Arial"/>
        </w:rPr>
        <w:t>s</w:t>
      </w:r>
      <w:r w:rsidRPr="0014152D">
        <w:rPr>
          <w:rFonts w:cs="Arial"/>
        </w:rPr>
        <w:t xml:space="preserve">nahmefälle, nämlich die Notwehr- und Notstandssituationen gemäss Art. </w:t>
      </w:r>
      <w:r>
        <w:rPr>
          <w:rFonts w:cs="Arial"/>
        </w:rPr>
        <w:t>15 und 17</w:t>
      </w:r>
      <w:r w:rsidRPr="0014152D">
        <w:rPr>
          <w:rFonts w:cs="Arial"/>
        </w:rPr>
        <w:t xml:space="preserve"> StGB</w:t>
      </w:r>
      <w:r>
        <w:rPr>
          <w:rStyle w:val="Funotenzeichen"/>
          <w:rFonts w:cs="Arial"/>
        </w:rPr>
        <w:footnoteReference w:id="3"/>
      </w:r>
      <w:r w:rsidRPr="0014152D">
        <w:rPr>
          <w:rFonts w:cs="Arial"/>
        </w:rPr>
        <w:t xml:space="preserve"> und das Selbsthilferecht nach Art. 52 Abs. 3 OR</w:t>
      </w:r>
      <w:r>
        <w:rPr>
          <w:rStyle w:val="Funotenzeichen"/>
          <w:rFonts w:cs="Arial"/>
        </w:rPr>
        <w:footnoteReference w:id="4"/>
      </w:r>
      <w:r w:rsidRPr="0014152D">
        <w:rPr>
          <w:rFonts w:cs="Arial"/>
        </w:rPr>
        <w:t>. Als spezielle Ausprägung des Selbsthilf</w:t>
      </w:r>
      <w:r w:rsidRPr="0014152D">
        <w:rPr>
          <w:rFonts w:cs="Arial"/>
        </w:rPr>
        <w:t>e</w:t>
      </w:r>
      <w:r w:rsidRPr="0014152D">
        <w:rPr>
          <w:rFonts w:cs="Arial"/>
        </w:rPr>
        <w:t xml:space="preserve">rechts </w:t>
      </w:r>
      <w:r w:rsidR="001328DA">
        <w:rPr>
          <w:rFonts w:cs="Arial"/>
        </w:rPr>
        <w:t>sieht Art. 218 StPO</w:t>
      </w:r>
      <w:r w:rsidR="001328DA">
        <w:rPr>
          <w:rStyle w:val="Funotenzeichen"/>
          <w:rFonts w:cs="Arial"/>
        </w:rPr>
        <w:footnoteReference w:id="5"/>
      </w:r>
      <w:r w:rsidR="001328DA">
        <w:rPr>
          <w:rFonts w:cs="Arial"/>
        </w:rPr>
        <w:t xml:space="preserve"> die vorläufige Festnahme vor.</w:t>
      </w:r>
    </w:p>
    <w:p w:rsidR="00DF5EF1" w:rsidRDefault="00DF5EF1" w:rsidP="00DF5EF1">
      <w:pPr>
        <w:rPr>
          <w:rFonts w:cs="Arial"/>
        </w:rPr>
      </w:pPr>
    </w:p>
    <w:p w:rsidR="00DF5EF1" w:rsidRPr="0014152D" w:rsidRDefault="00DF5EF1" w:rsidP="00DF5EF1">
      <w:pPr>
        <w:rPr>
          <w:rFonts w:cs="Arial"/>
        </w:rPr>
      </w:pPr>
      <w:r w:rsidRPr="0014152D">
        <w:rPr>
          <w:rFonts w:cs="Arial"/>
        </w:rPr>
        <w:t>Neben diesen in Not- und Selbsthilfesituationen best</w:t>
      </w:r>
      <w:r w:rsidRPr="0014152D">
        <w:rPr>
          <w:rFonts w:cs="Arial"/>
        </w:rPr>
        <w:t>e</w:t>
      </w:r>
      <w:r w:rsidRPr="0014152D">
        <w:rPr>
          <w:rFonts w:cs="Arial"/>
        </w:rPr>
        <w:t>henden Gewaltbefugnissen, welche allen Menschen zustehen, erlaubt das sog. Hausrecht dem Inhaber der Verfügungsmacht eines Hauses oder einer Anlage in bestimmten Grenzen, Gewalt auszuüben. Die gesetzl</w:t>
      </w:r>
      <w:r w:rsidRPr="0014152D">
        <w:rPr>
          <w:rFonts w:cs="Arial"/>
        </w:rPr>
        <w:t>i</w:t>
      </w:r>
      <w:r w:rsidRPr="0014152D">
        <w:rPr>
          <w:rFonts w:cs="Arial"/>
        </w:rPr>
        <w:t>che Grundlage des Hausrechts bilden Art. 13 Abs. 1 BV</w:t>
      </w:r>
      <w:r>
        <w:rPr>
          <w:rStyle w:val="Funotenzeichen"/>
          <w:rFonts w:cs="Arial"/>
        </w:rPr>
        <w:footnoteReference w:id="6"/>
      </w:r>
      <w:r w:rsidRPr="0014152D">
        <w:rPr>
          <w:rFonts w:cs="Arial"/>
        </w:rPr>
        <w:t>, Art. 28 ZGB</w:t>
      </w:r>
      <w:r>
        <w:rPr>
          <w:rStyle w:val="Funotenzeichen"/>
          <w:rFonts w:cs="Arial"/>
        </w:rPr>
        <w:footnoteReference w:id="7"/>
      </w:r>
      <w:r w:rsidRPr="0014152D">
        <w:rPr>
          <w:rFonts w:cs="Arial"/>
        </w:rPr>
        <w:t>, Art. 186 StGB s</w:t>
      </w:r>
      <w:r w:rsidRPr="0014152D">
        <w:rPr>
          <w:rFonts w:cs="Arial"/>
        </w:rPr>
        <w:t>o</w:t>
      </w:r>
      <w:r w:rsidRPr="0014152D">
        <w:rPr>
          <w:rFonts w:cs="Arial"/>
        </w:rPr>
        <w:t>wie kantonale Normen. Das Hausrecht beinhaltet das Recht festzulegen, wer sich innerhalb gewisser Räume aufhalten darf. Der Berechtigte kann eine Hausordnung erstellen und bei deren Missachtung ein Hausverbot oder einen Hausverweis aussprechen. Hält sich ein B</w:t>
      </w:r>
      <w:r w:rsidRPr="0014152D">
        <w:rPr>
          <w:rFonts w:cs="Arial"/>
        </w:rPr>
        <w:t>e</w:t>
      </w:r>
      <w:r w:rsidRPr="0014152D">
        <w:rPr>
          <w:rFonts w:cs="Arial"/>
        </w:rPr>
        <w:t>sucher nicht an das gegen ihn au</w:t>
      </w:r>
      <w:r w:rsidRPr="0014152D">
        <w:rPr>
          <w:rFonts w:cs="Arial"/>
        </w:rPr>
        <w:t>s</w:t>
      </w:r>
      <w:r w:rsidRPr="0014152D">
        <w:rPr>
          <w:rFonts w:cs="Arial"/>
        </w:rPr>
        <w:t>gesprochene Hausverbot oder den Hausverweis, so kann er aufgrund des Selbsthilferechts vor die Tür gestellt werden.</w:t>
      </w:r>
    </w:p>
    <w:p w:rsidR="00DF5EF1" w:rsidRPr="0014152D" w:rsidRDefault="00DF5EF1" w:rsidP="00DF5EF1">
      <w:pPr>
        <w:rPr>
          <w:rFonts w:cs="Arial"/>
        </w:rPr>
      </w:pPr>
    </w:p>
    <w:p w:rsidR="00DF5EF1" w:rsidRPr="0014152D" w:rsidRDefault="00DF5EF1" w:rsidP="00DF5EF1">
      <w:pPr>
        <w:rPr>
          <w:rFonts w:cs="Arial"/>
        </w:rPr>
      </w:pPr>
      <w:r>
        <w:rPr>
          <w:rFonts w:cs="Arial"/>
        </w:rPr>
        <w:t xml:space="preserve">Die private Gewaltbefugnis kann zusätzlich zu den genannten Befugnissen auf </w:t>
      </w:r>
      <w:r w:rsidRPr="0014152D">
        <w:rPr>
          <w:rFonts w:cs="Arial"/>
        </w:rPr>
        <w:t xml:space="preserve">zwei Arten </w:t>
      </w:r>
      <w:r>
        <w:rPr>
          <w:rFonts w:cs="Arial"/>
        </w:rPr>
        <w:t>erweitert werden:</w:t>
      </w:r>
    </w:p>
    <w:p w:rsidR="00DF5EF1" w:rsidRPr="0014152D" w:rsidRDefault="00DF5EF1" w:rsidP="00DF5EF1">
      <w:pPr>
        <w:rPr>
          <w:rFonts w:cs="Arial"/>
        </w:rPr>
      </w:pPr>
    </w:p>
    <w:p w:rsidR="00DF5EF1" w:rsidRPr="0014152D" w:rsidRDefault="00DF5EF1" w:rsidP="00DF5EF1">
      <w:pPr>
        <w:rPr>
          <w:rFonts w:cs="Arial"/>
        </w:rPr>
      </w:pPr>
      <w:r w:rsidRPr="0014152D">
        <w:rPr>
          <w:rFonts w:cs="Arial"/>
        </w:rPr>
        <w:t>Einerseits führen vertragliche Regelungen zwischen dem Gewaltanwender und der gewal</w:t>
      </w:r>
      <w:r w:rsidRPr="0014152D">
        <w:rPr>
          <w:rFonts w:cs="Arial"/>
        </w:rPr>
        <w:t>t</w:t>
      </w:r>
      <w:r w:rsidRPr="0014152D">
        <w:rPr>
          <w:rFonts w:cs="Arial"/>
        </w:rPr>
        <w:t>betroffenen Person oder spontane Einwilligungen zu privater Gewaltbefugnis, welche mit dem Gewaltmonopol in Einklang steht. So können etwa die Besucher einer Sport- oder M</w:t>
      </w:r>
      <w:r w:rsidRPr="0014152D">
        <w:rPr>
          <w:rFonts w:cs="Arial"/>
        </w:rPr>
        <w:t>u</w:t>
      </w:r>
      <w:r w:rsidRPr="0014152D">
        <w:rPr>
          <w:rFonts w:cs="Arial"/>
        </w:rPr>
        <w:t>sikveranstaltung beim Kauf des Eintrittstickets (explizit oder konkludent) vertraglich einwill</w:t>
      </w:r>
      <w:r w:rsidRPr="0014152D">
        <w:rPr>
          <w:rFonts w:cs="Arial"/>
        </w:rPr>
        <w:t>i</w:t>
      </w:r>
      <w:r w:rsidRPr="0014152D">
        <w:rPr>
          <w:rFonts w:cs="Arial"/>
        </w:rPr>
        <w:t>gen, dass ungeachtet des staatlichen Gewaltmonopols vom Veranstalter gewisse Eingriff</w:t>
      </w:r>
      <w:r w:rsidRPr="0014152D">
        <w:rPr>
          <w:rFonts w:cs="Arial"/>
        </w:rPr>
        <w:t>s</w:t>
      </w:r>
      <w:r w:rsidRPr="0014152D">
        <w:rPr>
          <w:rFonts w:cs="Arial"/>
        </w:rPr>
        <w:t>handlungen vollzogen werden können wie etwa Körper- und Sachdurchsuchungen. G</w:t>
      </w:r>
      <w:r w:rsidRPr="0014152D">
        <w:rPr>
          <w:rFonts w:cs="Arial"/>
        </w:rPr>
        <w:t>e</w:t>
      </w:r>
      <w:r w:rsidRPr="0014152D">
        <w:rPr>
          <w:rFonts w:cs="Arial"/>
        </w:rPr>
        <w:t>stützt auf die vertragliche Regelung oder spontane Einwilligung erweitert sich die Gewaltb</w:t>
      </w:r>
      <w:r w:rsidRPr="0014152D">
        <w:rPr>
          <w:rFonts w:cs="Arial"/>
        </w:rPr>
        <w:t>e</w:t>
      </w:r>
      <w:r w:rsidRPr="0014152D">
        <w:rPr>
          <w:rFonts w:cs="Arial"/>
        </w:rPr>
        <w:t>fugnis des Veranstalters, welche jedoch nichts am staatlichen Gewaltmonopol ändert, denn dieses ist – anders als die vertragliche Regelung und die spontane Einwilligung – unwide</w:t>
      </w:r>
      <w:r w:rsidRPr="0014152D">
        <w:rPr>
          <w:rFonts w:cs="Arial"/>
        </w:rPr>
        <w:t>r</w:t>
      </w:r>
      <w:r w:rsidRPr="0014152D">
        <w:rPr>
          <w:rFonts w:cs="Arial"/>
        </w:rPr>
        <w:t>rufbar.</w:t>
      </w:r>
    </w:p>
    <w:p w:rsidR="00DF5EF1" w:rsidRPr="0014152D" w:rsidRDefault="00DF5EF1" w:rsidP="00DF5EF1">
      <w:pPr>
        <w:rPr>
          <w:rFonts w:cs="Arial"/>
        </w:rPr>
      </w:pPr>
    </w:p>
    <w:p w:rsidR="00DF5EF1" w:rsidRDefault="00DF5EF1" w:rsidP="00DF5EF1">
      <w:pPr>
        <w:rPr>
          <w:rFonts w:cs="Arial"/>
        </w:rPr>
      </w:pPr>
      <w:r w:rsidRPr="0014152D">
        <w:rPr>
          <w:rFonts w:cs="Arial"/>
        </w:rPr>
        <w:t>Andererseits können Private – unter Wahrung des staatlichen Gewaltmonopols – durch die staatliche Gewaltbeleihung ausserordentliche Gewaltbefugnis erlangen. Unter Beachtung gewisser Randbedingungen kann der Staat Private zur Wahrnehmung von Staatsaufgaben ermächtigen, wie etwa zur Verkehrsregelung gemäss Art. 67 Abs. 3 SSV</w:t>
      </w:r>
      <w:r>
        <w:rPr>
          <w:rStyle w:val="Funotenzeichen"/>
          <w:rFonts w:cs="Arial"/>
        </w:rPr>
        <w:footnoteReference w:id="8"/>
      </w:r>
      <w:r w:rsidRPr="0014152D">
        <w:rPr>
          <w:rFonts w:cs="Arial"/>
        </w:rPr>
        <w:t>. Falls nötig, kann der Staat die Privaten auch mit der dazu notwendigen und verhältnismässigen staatl</w:t>
      </w:r>
      <w:r w:rsidRPr="0014152D">
        <w:rPr>
          <w:rFonts w:cs="Arial"/>
        </w:rPr>
        <w:t>i</w:t>
      </w:r>
      <w:r w:rsidRPr="0014152D">
        <w:rPr>
          <w:rFonts w:cs="Arial"/>
        </w:rPr>
        <w:t>chen Zwangsbefugnis beleihen. Das wird beispielsweise nötig, wenn Private nicht nur den Ve</w:t>
      </w:r>
      <w:r w:rsidRPr="0014152D">
        <w:rPr>
          <w:rFonts w:cs="Arial"/>
        </w:rPr>
        <w:t>r</w:t>
      </w:r>
      <w:r w:rsidRPr="0014152D">
        <w:rPr>
          <w:rFonts w:cs="Arial"/>
        </w:rPr>
        <w:t>kehr regeln und Parkbussen verteilen, sondern auch Zwangsmassnahmen ergreifen wie das Belegen falsch parkierter Autos mit Wegfahrsperren. Durch das Übertragen staatl</w:t>
      </w:r>
      <w:r w:rsidRPr="0014152D">
        <w:rPr>
          <w:rFonts w:cs="Arial"/>
        </w:rPr>
        <w:t>i</w:t>
      </w:r>
      <w:r w:rsidRPr="0014152D">
        <w:rPr>
          <w:rFonts w:cs="Arial"/>
        </w:rPr>
        <w:t>cher Aufgaben und der damit verknüpften Gewaltbefugnisse an Private durch Beleihung endet die Verantwortung des Staates für diese Materie nicht. Selbst wenn Private legiti</w:t>
      </w:r>
      <w:r w:rsidRPr="0014152D">
        <w:rPr>
          <w:rFonts w:cs="Arial"/>
        </w:rPr>
        <w:t>m</w:t>
      </w:r>
      <w:r w:rsidRPr="0014152D">
        <w:rPr>
          <w:rFonts w:cs="Arial"/>
        </w:rPr>
        <w:t>erweise Zwangsbefugnisse innehaben, ist letztlich die Polizei für die Gewährleistung der inneren S</w:t>
      </w:r>
      <w:r w:rsidRPr="0014152D">
        <w:rPr>
          <w:rFonts w:cs="Arial"/>
        </w:rPr>
        <w:t>i</w:t>
      </w:r>
      <w:r w:rsidRPr="0014152D">
        <w:rPr>
          <w:rFonts w:cs="Arial"/>
        </w:rPr>
        <w:t>cherheit zuständig.</w:t>
      </w:r>
    </w:p>
    <w:p w:rsidR="00DF5EF1" w:rsidRDefault="00DF5EF1" w:rsidP="00DF5EF1">
      <w:pPr>
        <w:rPr>
          <w:rFonts w:cs="Arial"/>
        </w:rPr>
      </w:pPr>
    </w:p>
    <w:p w:rsidR="00DF5EF1" w:rsidRPr="00FF2BC4" w:rsidRDefault="00DF5EF1" w:rsidP="00DF5EF1">
      <w:r>
        <w:rPr>
          <w:rFonts w:cs="Arial"/>
        </w:rPr>
        <w:t xml:space="preserve">Das </w:t>
      </w:r>
      <w:r w:rsidRPr="00FF2BC4">
        <w:rPr>
          <w:rFonts w:cs="Arial"/>
        </w:rPr>
        <w:t>Konkordat über private Sicherheitsdienstleistungen</w:t>
      </w:r>
      <w:r>
        <w:rPr>
          <w:rFonts w:cs="Arial"/>
        </w:rPr>
        <w:t xml:space="preserve"> regelt die Marktzulassung von S</w:t>
      </w:r>
      <w:r>
        <w:rPr>
          <w:rFonts w:cs="Arial"/>
        </w:rPr>
        <w:t>i</w:t>
      </w:r>
      <w:r>
        <w:rPr>
          <w:rFonts w:cs="Arial"/>
        </w:rPr>
        <w:t xml:space="preserve">cherheitsunternehmen und -angestellten. Davon zu unterscheiden ist die Frage, welche </w:t>
      </w:r>
      <w:r w:rsidRPr="00FF2BC4">
        <w:t>S</w:t>
      </w:r>
      <w:r w:rsidRPr="00FF2BC4">
        <w:t>i</w:t>
      </w:r>
      <w:r w:rsidRPr="00FF2BC4">
        <w:t xml:space="preserve">cherheitsaufgaben </w:t>
      </w:r>
      <w:r>
        <w:rPr>
          <w:rFonts w:cs="Arial"/>
        </w:rPr>
        <w:t xml:space="preserve">der Staat an Private delegieren kann. Zu dieser Frage </w:t>
      </w:r>
      <w:r w:rsidRPr="008A3812">
        <w:t xml:space="preserve">verabschiedete die </w:t>
      </w:r>
      <w:r w:rsidRPr="00CD51CE">
        <w:t>Konferenz der Kantonalen Justiz- und Polizeidirektori</w:t>
      </w:r>
      <w:r w:rsidRPr="00CD51CE">
        <w:t>n</w:t>
      </w:r>
      <w:r w:rsidRPr="00CD51CE">
        <w:t xml:space="preserve">nen und -direktoren </w:t>
      </w:r>
      <w:r>
        <w:t>(</w:t>
      </w:r>
      <w:r w:rsidRPr="008A3812">
        <w:t>KKJPD</w:t>
      </w:r>
      <w:r>
        <w:t>)</w:t>
      </w:r>
      <w:r w:rsidRPr="008A3812">
        <w:t xml:space="preserve"> am</w:t>
      </w:r>
      <w:r>
        <w:t xml:space="preserve"> 16. November 2007 Empfehlungen, wobei d</w:t>
      </w:r>
      <w:r w:rsidRPr="008A3812">
        <w:t>ie Empfehlungen im Sinne eines Katalogs der maximal delegierbaren Aufgaben zu ve</w:t>
      </w:r>
      <w:r w:rsidRPr="008A3812">
        <w:t>r</w:t>
      </w:r>
      <w:r w:rsidRPr="008A3812">
        <w:t>stehen</w:t>
      </w:r>
      <w:r w:rsidRPr="000D6577">
        <w:t xml:space="preserve"> </w:t>
      </w:r>
      <w:r w:rsidRPr="008A3812">
        <w:t>sind</w:t>
      </w:r>
      <w:r>
        <w:t>.</w:t>
      </w:r>
    </w:p>
    <w:p w:rsidR="00DF5EF1" w:rsidRDefault="00DF5EF1" w:rsidP="00DF5EF1"/>
    <w:p w:rsidR="00DF5EF1" w:rsidRDefault="00DF5EF1" w:rsidP="00DF5EF1"/>
    <w:p w:rsidR="005873DA" w:rsidRDefault="005873DA" w:rsidP="005873DA">
      <w:pPr>
        <w:spacing w:after="120"/>
        <w:rPr>
          <w:b/>
          <w:i/>
        </w:rPr>
      </w:pPr>
      <w:r w:rsidRPr="00D429E9">
        <w:rPr>
          <w:b/>
          <w:i/>
        </w:rPr>
        <w:t xml:space="preserve">Zu Artikel </w:t>
      </w:r>
      <w:r w:rsidR="00290A75">
        <w:rPr>
          <w:b/>
          <w:i/>
        </w:rPr>
        <w:t>11</w:t>
      </w:r>
    </w:p>
    <w:p w:rsidR="000C4489" w:rsidRDefault="00A1149C" w:rsidP="00A213F1">
      <w:r>
        <w:t>Der Legitimationsausweis (Art. 8) bescheinigt das Vorliegen der persönlichen Vorausse</w:t>
      </w:r>
      <w:r>
        <w:t>t</w:t>
      </w:r>
      <w:r>
        <w:t>zungen und insbesondere der</w:t>
      </w:r>
      <w:r w:rsidRPr="008C27A6">
        <w:t xml:space="preserve"> </w:t>
      </w:r>
      <w:r w:rsidR="005440C8">
        <w:t xml:space="preserve">erfolgreich absolvierten </w:t>
      </w:r>
      <w:r w:rsidRPr="008C27A6">
        <w:t>theoretische</w:t>
      </w:r>
      <w:r>
        <w:t>n</w:t>
      </w:r>
      <w:r w:rsidRPr="008C27A6">
        <w:t xml:space="preserve"> Grund</w:t>
      </w:r>
      <w:r>
        <w:t>ausbildung. Die Sicherheitsunternehmen bzw. deren Zweigniederlassungen müssen überprüfen, ob die S</w:t>
      </w:r>
      <w:r>
        <w:t>i</w:t>
      </w:r>
      <w:r>
        <w:t>cherheitsa</w:t>
      </w:r>
      <w:r>
        <w:t>n</w:t>
      </w:r>
      <w:r>
        <w:t xml:space="preserve">gestellten </w:t>
      </w:r>
      <w:r w:rsidR="00A213F1">
        <w:t xml:space="preserve">einen gültigen </w:t>
      </w:r>
      <w:r>
        <w:t>Legitimationsausweis besitzen.</w:t>
      </w:r>
    </w:p>
    <w:p w:rsidR="00A1149C" w:rsidRDefault="00A1149C" w:rsidP="00A213F1"/>
    <w:p w:rsidR="00B0473D" w:rsidRDefault="00A213F1" w:rsidP="00A213F1">
      <w:r w:rsidRPr="00707105">
        <w:lastRenderedPageBreak/>
        <w:t>Da im Rahmen des Bewilligungsverfahrens der Sicherheitsangestellten erst eine theoret</w:t>
      </w:r>
      <w:r w:rsidRPr="00707105">
        <w:t>i</w:t>
      </w:r>
      <w:r w:rsidRPr="00707105">
        <w:t>sche Grundausbildung erfolgte, müssen die Sicherheitsangestellten vor ihrem Ersteinsatz für ihre spezifischen praktischen Tätigkeiten (</w:t>
      </w:r>
      <w:r w:rsidR="00707105" w:rsidRPr="00707105">
        <w:t>Zutrittskontrollen</w:t>
      </w:r>
      <w:r w:rsidRPr="00707105">
        <w:t xml:space="preserve">, Objektschutz, </w:t>
      </w:r>
      <w:r w:rsidR="00707105" w:rsidRPr="00707105">
        <w:t>Werttranspo</w:t>
      </w:r>
      <w:r w:rsidR="00707105" w:rsidRPr="00707105">
        <w:t>r</w:t>
      </w:r>
      <w:r w:rsidR="00707105" w:rsidRPr="00707105">
        <w:t>te</w:t>
      </w:r>
      <w:r w:rsidRPr="00707105">
        <w:t xml:space="preserve">, etc.) ausgebildet werden. Zudem müssen sie auch </w:t>
      </w:r>
      <w:r w:rsidR="00B0473D" w:rsidRPr="00707105">
        <w:t>regelmässig weiterg</w:t>
      </w:r>
      <w:r w:rsidR="00B0473D" w:rsidRPr="00707105">
        <w:t>e</w:t>
      </w:r>
      <w:r w:rsidR="00B0473D" w:rsidRPr="00707105">
        <w:t xml:space="preserve">bildet </w:t>
      </w:r>
      <w:r w:rsidRPr="00707105">
        <w:t>werden</w:t>
      </w:r>
      <w:r w:rsidR="00B0473D" w:rsidRPr="00707105">
        <w:t>. Für Mitarbeiter von Sich</w:t>
      </w:r>
      <w:r w:rsidRPr="00707105">
        <w:t>erheitsunternehmen</w:t>
      </w:r>
      <w:r w:rsidR="00B0473D" w:rsidRPr="00707105">
        <w:t>, die auf operativer Stufe Führungsaufgaben wahrnehmen, haben die Sicherheitsunternehmen Ausbildungsmodule für die Führung durchzuführen. Nur mit einer genügenden Aus</w:t>
      </w:r>
      <w:r w:rsidRPr="00707105">
        <w:t>- und Weiter</w:t>
      </w:r>
      <w:r w:rsidR="00B0473D" w:rsidRPr="00707105">
        <w:t>bildung</w:t>
      </w:r>
      <w:r w:rsidRPr="00707105">
        <w:t>en</w:t>
      </w:r>
      <w:r w:rsidR="00B0473D" w:rsidRPr="00707105">
        <w:t xml:space="preserve"> auf allen Stufen kann </w:t>
      </w:r>
      <w:r w:rsidRPr="00707105">
        <w:t xml:space="preserve">sichergestellt </w:t>
      </w:r>
      <w:r w:rsidR="00B0473D" w:rsidRPr="00707105">
        <w:t>werden, dass ausschliesslich Sicherh</w:t>
      </w:r>
      <w:r w:rsidRPr="00707105">
        <w:t>eitsangestellte</w:t>
      </w:r>
      <w:r w:rsidR="00B0473D" w:rsidRPr="00707105">
        <w:t xml:space="preserve"> </w:t>
      </w:r>
      <w:r w:rsidRPr="00707105">
        <w:t>tätig sind</w:t>
      </w:r>
      <w:r w:rsidR="00B0473D" w:rsidRPr="00707105">
        <w:t xml:space="preserve">, </w:t>
      </w:r>
      <w:r w:rsidRPr="00707105">
        <w:t xml:space="preserve">die ihren </w:t>
      </w:r>
      <w:r w:rsidR="00B0473D" w:rsidRPr="00707105">
        <w:t>Au</w:t>
      </w:r>
      <w:r w:rsidR="00B0473D" w:rsidRPr="00707105">
        <w:t>f</w:t>
      </w:r>
      <w:r w:rsidR="00B0473D" w:rsidRPr="00707105">
        <w:t xml:space="preserve">gaben gewachsen </w:t>
      </w:r>
      <w:r w:rsidRPr="00707105">
        <w:t xml:space="preserve">sind </w:t>
      </w:r>
      <w:r w:rsidR="00B0473D" w:rsidRPr="00707105">
        <w:t>und rechtmässig ha</w:t>
      </w:r>
      <w:r w:rsidR="00B0473D" w:rsidRPr="00707105">
        <w:t>n</w:t>
      </w:r>
      <w:r w:rsidR="00B0473D" w:rsidRPr="00707105">
        <w:t>del</w:t>
      </w:r>
      <w:r w:rsidRPr="00707105">
        <w:t>n</w:t>
      </w:r>
      <w:r w:rsidR="00B0473D" w:rsidRPr="00707105">
        <w:t>.</w:t>
      </w:r>
    </w:p>
    <w:p w:rsidR="00707105" w:rsidRDefault="00707105" w:rsidP="00A213F1"/>
    <w:p w:rsidR="00707105" w:rsidRDefault="00707105" w:rsidP="00A213F1">
      <w:r>
        <w:t>Die Bestimmung, dass Sicherheitsangestellte nur mit einer ausreichenden Aus- und We</w:t>
      </w:r>
      <w:r>
        <w:t>i</w:t>
      </w:r>
      <w:r>
        <w:t xml:space="preserve">terbildung tätig werden dürfen richtet sich sowohl an die Sicherheitsangestellten (Art. </w:t>
      </w:r>
      <w:r w:rsidR="00290A75">
        <w:t>11</w:t>
      </w:r>
      <w:r>
        <w:t xml:space="preserve"> Abs. 1) als auch an die Sicherheitsunternehmen (Art. </w:t>
      </w:r>
      <w:r w:rsidR="00290A75">
        <w:t>11</w:t>
      </w:r>
      <w:r>
        <w:t xml:space="preserve"> Abs. 2).</w:t>
      </w:r>
      <w:r w:rsidR="00C668DC">
        <w:t xml:space="preserve"> Wechselt ein Sicherheit</w:t>
      </w:r>
      <w:r w:rsidR="00C668DC">
        <w:t>s</w:t>
      </w:r>
      <w:r w:rsidR="00C668DC">
        <w:t>angestellter sein Aufgabengebiet oder den Arbeitgeber, muss er entsprechend neu ausg</w:t>
      </w:r>
      <w:r w:rsidR="00C668DC">
        <w:t>e</w:t>
      </w:r>
      <w:r w:rsidR="00C668DC">
        <w:t>bildet werden.</w:t>
      </w:r>
    </w:p>
    <w:p w:rsidR="00B0473D" w:rsidRDefault="00B0473D" w:rsidP="00A213F1"/>
    <w:p w:rsidR="00B0473D" w:rsidRDefault="00B0473D" w:rsidP="00A213F1"/>
    <w:p w:rsidR="00513255" w:rsidRDefault="00513255" w:rsidP="00513255">
      <w:pPr>
        <w:spacing w:after="120"/>
        <w:rPr>
          <w:b/>
          <w:i/>
        </w:rPr>
      </w:pPr>
      <w:r w:rsidRPr="00D429E9">
        <w:rPr>
          <w:b/>
          <w:i/>
        </w:rPr>
        <w:t xml:space="preserve">Zu Artikel </w:t>
      </w:r>
      <w:r w:rsidR="00290A75">
        <w:rPr>
          <w:b/>
          <w:i/>
        </w:rPr>
        <w:t>12</w:t>
      </w:r>
    </w:p>
    <w:p w:rsidR="008A14F9" w:rsidRDefault="00003319" w:rsidP="008A14F9">
      <w:r>
        <w:t xml:space="preserve">Artikel </w:t>
      </w:r>
      <w:r w:rsidR="00290A75">
        <w:t>12</w:t>
      </w:r>
      <w:r>
        <w:t xml:space="preserve"> regelt die </w:t>
      </w:r>
      <w:r w:rsidRPr="00003319">
        <w:t xml:space="preserve">Pflichten </w:t>
      </w:r>
      <w:r>
        <w:t xml:space="preserve">der </w:t>
      </w:r>
      <w:r w:rsidRPr="00003319">
        <w:t>Bewilligungsinhaberinnen und Bewilligungsinhaber im Kontakt mit der Polizei</w:t>
      </w:r>
      <w:r>
        <w:t>. Dabei werden unter den Buchstaben a</w:t>
      </w:r>
      <w:r w:rsidR="00627C63">
        <w:t>, b, c</w:t>
      </w:r>
      <w:r>
        <w:t xml:space="preserve"> und </w:t>
      </w:r>
      <w:r w:rsidR="00627C63">
        <w:t>e</w:t>
      </w:r>
      <w:r>
        <w:t xml:space="preserve"> aktive Mitwi</w:t>
      </w:r>
      <w:r>
        <w:t>r</w:t>
      </w:r>
      <w:r>
        <w:t xml:space="preserve">kungspflichten </w:t>
      </w:r>
      <w:r w:rsidR="008A14F9">
        <w:t>vorgeschrieben</w:t>
      </w:r>
      <w:r>
        <w:t xml:space="preserve">, währenddem </w:t>
      </w:r>
      <w:r w:rsidR="00627C63">
        <w:t xml:space="preserve">der erste Halbsatz von </w:t>
      </w:r>
      <w:r>
        <w:t xml:space="preserve">Buchstabe c </w:t>
      </w:r>
      <w:r w:rsidR="00627C63">
        <w:t xml:space="preserve">sowie Buchstabe </w:t>
      </w:r>
      <w:r>
        <w:t>d Unterlassungspflichten en</w:t>
      </w:r>
      <w:r>
        <w:t>t</w:t>
      </w:r>
      <w:r>
        <w:t>halten.</w:t>
      </w:r>
    </w:p>
    <w:p w:rsidR="008A14F9" w:rsidRDefault="008A14F9" w:rsidP="008A14F9"/>
    <w:p w:rsidR="00BE4728" w:rsidRPr="00003319" w:rsidRDefault="008A14F9" w:rsidP="008A14F9">
      <w:r>
        <w:t>Buchstabe a statuiert, dass Bewilligungsinhaberinnen und Bewilligungsinhaber der Polizei die Gefährdung oder Verletzung bedeutsamer Rechtsgüter</w:t>
      </w:r>
      <w:r w:rsidRPr="008A14F9">
        <w:t xml:space="preserve"> </w:t>
      </w:r>
      <w:r>
        <w:t>melden, sofern dies ein Ei</w:t>
      </w:r>
      <w:r>
        <w:t>n</w:t>
      </w:r>
      <w:r>
        <w:t xml:space="preserve">schreiten der Polizei erfordert. Durch </w:t>
      </w:r>
      <w:r w:rsidR="00627C63">
        <w:t xml:space="preserve">das Wort </w:t>
      </w:r>
      <w:r>
        <w:t>„bedeutsam“ wird klargestellt, dass der Pol</w:t>
      </w:r>
      <w:r>
        <w:t>i</w:t>
      </w:r>
      <w:r>
        <w:t>zei nur erhebliche Vorfälle gemeldet werden mü</w:t>
      </w:r>
      <w:r>
        <w:t>s</w:t>
      </w:r>
      <w:r>
        <w:t>sen und nicht etwa jedes falsch parkierte Fahrzeug.</w:t>
      </w:r>
    </w:p>
    <w:p w:rsidR="00003319" w:rsidRDefault="00003319" w:rsidP="00003319"/>
    <w:p w:rsidR="00003319" w:rsidRDefault="00003319" w:rsidP="00003319"/>
    <w:p w:rsidR="00513255" w:rsidRDefault="00513255" w:rsidP="00513255">
      <w:pPr>
        <w:spacing w:after="120"/>
        <w:rPr>
          <w:b/>
          <w:i/>
        </w:rPr>
      </w:pPr>
      <w:r w:rsidRPr="00D429E9">
        <w:rPr>
          <w:b/>
          <w:i/>
        </w:rPr>
        <w:t xml:space="preserve">Zu Artikel </w:t>
      </w:r>
      <w:r w:rsidR="00290A75">
        <w:rPr>
          <w:b/>
          <w:i/>
        </w:rPr>
        <w:t>13</w:t>
      </w:r>
    </w:p>
    <w:p w:rsidR="00A105C4" w:rsidRPr="00FF61B4" w:rsidRDefault="00A105C4" w:rsidP="00A105C4">
      <w:pPr>
        <w:spacing w:after="120"/>
        <w:rPr>
          <w:i/>
        </w:rPr>
      </w:pPr>
      <w:r w:rsidRPr="00FF61B4">
        <w:rPr>
          <w:i/>
        </w:rPr>
        <w:t>Abs</w:t>
      </w:r>
      <w:r>
        <w:rPr>
          <w:i/>
        </w:rPr>
        <w:t>atz 1</w:t>
      </w:r>
    </w:p>
    <w:p w:rsidR="00513255" w:rsidRPr="00C167C9" w:rsidRDefault="00A105C4" w:rsidP="00A105C4">
      <w:r w:rsidRPr="00A105C4">
        <w:t>Sicherheitsangestellte sowie Geschäftsführerinnen und Geschäftsführer weisen ihren Leg</w:t>
      </w:r>
      <w:r w:rsidRPr="00A105C4">
        <w:t>i</w:t>
      </w:r>
      <w:r w:rsidRPr="00A105C4">
        <w:t>timationsausweis auf Verlangen vor</w:t>
      </w:r>
      <w:r>
        <w:t>. Unter Buchstabe a sind Partner aufgeführt, mit we</w:t>
      </w:r>
      <w:r>
        <w:t>l</w:t>
      </w:r>
      <w:r>
        <w:t>chen sie in einem speziellen Verhältnis stehen.</w:t>
      </w:r>
      <w:r w:rsidR="00C167C9">
        <w:t xml:space="preserve"> Dabei ist beim offenen Begriff „</w:t>
      </w:r>
      <w:r w:rsidR="00C167C9" w:rsidRPr="00C167C9">
        <w:t>andere B</w:t>
      </w:r>
      <w:r w:rsidR="00C167C9" w:rsidRPr="00C167C9">
        <w:t>e</w:t>
      </w:r>
      <w:r w:rsidR="00C167C9" w:rsidRPr="00C167C9">
        <w:t>hörden</w:t>
      </w:r>
      <w:r w:rsidR="00C167C9">
        <w:t>“ darauf hinzuweisen, dass jedes Behördenhandeln funktional sein</w:t>
      </w:r>
      <w:r w:rsidR="00C167C9" w:rsidRPr="00C167C9">
        <w:t xml:space="preserve"> </w:t>
      </w:r>
      <w:r w:rsidR="00C167C9">
        <w:t>muss, d.h. eine B</w:t>
      </w:r>
      <w:r w:rsidR="00C167C9">
        <w:t>e</w:t>
      </w:r>
      <w:r w:rsidR="00C167C9">
        <w:t>hörde darf den Ausweis nur verlangen, wenn dies zur Erfüllung ihres Auftrags nötig ist. Gemäss Buchstabe b müssen die Legitimationsausweise auf Verlangen auch Privatpers</w:t>
      </w:r>
      <w:r w:rsidR="00C167C9">
        <w:t>o</w:t>
      </w:r>
      <w:r w:rsidR="00C167C9">
        <w:t xml:space="preserve">nen vorgelegt werden, wenn mit ihnen in Kontakt getreten wird. Nur so können Private </w:t>
      </w:r>
      <w:r w:rsidR="00E51776">
        <w:t>zweifelsfrei feststellen</w:t>
      </w:r>
      <w:r w:rsidR="00C167C9">
        <w:t xml:space="preserve">, dass </w:t>
      </w:r>
      <w:r w:rsidR="00E51776">
        <w:t xml:space="preserve">vor ihnen </w:t>
      </w:r>
      <w:r w:rsidR="00C167C9">
        <w:t>ei</w:t>
      </w:r>
      <w:r w:rsidR="00E51776">
        <w:t xml:space="preserve">n </w:t>
      </w:r>
      <w:r w:rsidR="005440C8">
        <w:t>legitimierter</w:t>
      </w:r>
      <w:r w:rsidR="00C167C9">
        <w:t xml:space="preserve"> Sicherheitsang</w:t>
      </w:r>
      <w:r w:rsidR="00C167C9">
        <w:t>e</w:t>
      </w:r>
      <w:r w:rsidR="00E51776">
        <w:t>stellter</w:t>
      </w:r>
      <w:r w:rsidR="00C167C9">
        <w:t xml:space="preserve"> </w:t>
      </w:r>
      <w:r w:rsidR="00E51776">
        <w:t>steht</w:t>
      </w:r>
      <w:r w:rsidR="00C167C9">
        <w:t>.</w:t>
      </w:r>
    </w:p>
    <w:p w:rsidR="00A105C4" w:rsidRDefault="00A105C4" w:rsidP="00A105C4"/>
    <w:p w:rsidR="00A105C4" w:rsidRPr="00FF61B4" w:rsidRDefault="00A105C4" w:rsidP="00A105C4">
      <w:pPr>
        <w:spacing w:after="120"/>
        <w:rPr>
          <w:i/>
        </w:rPr>
      </w:pPr>
      <w:r w:rsidRPr="00FF61B4">
        <w:rPr>
          <w:i/>
        </w:rPr>
        <w:t>Abs</w:t>
      </w:r>
      <w:r>
        <w:rPr>
          <w:i/>
        </w:rPr>
        <w:t>atz</w:t>
      </w:r>
      <w:r w:rsidRPr="00FF61B4">
        <w:rPr>
          <w:i/>
        </w:rPr>
        <w:t xml:space="preserve"> 2</w:t>
      </w:r>
    </w:p>
    <w:p w:rsidR="00A105C4" w:rsidRDefault="00105372" w:rsidP="00A105C4">
      <w:r>
        <w:t>Wo das Vorweisen der Legitimationsausweise nicht praktikabel ist oder die Sicherheit der Angestellten gefährdet ist, genügt die Identifizierbarkeit. Dies kann beispielsweise bei Sportgrossveranstaltungen der Fall sein.</w:t>
      </w:r>
      <w:r w:rsidR="00627C63">
        <w:t xml:space="preserve"> E</w:t>
      </w:r>
      <w:r w:rsidR="00627C63" w:rsidRPr="00627C63">
        <w:t xml:space="preserve">ine fehlende Praktikabilität </w:t>
      </w:r>
      <w:r w:rsidR="00AF5B84">
        <w:t xml:space="preserve">ist </w:t>
      </w:r>
      <w:r w:rsidR="00627C63">
        <w:t xml:space="preserve">jedoch </w:t>
      </w:r>
      <w:r w:rsidR="00627C63" w:rsidRPr="00627C63">
        <w:t>nicht leich</w:t>
      </w:r>
      <w:r w:rsidR="00627C63" w:rsidRPr="00627C63">
        <w:t>t</w:t>
      </w:r>
      <w:r w:rsidR="00627C63" w:rsidRPr="00627C63">
        <w:t>hin anzunehmen</w:t>
      </w:r>
      <w:r w:rsidR="00AF5B84">
        <w:t>.</w:t>
      </w:r>
    </w:p>
    <w:p w:rsidR="00A105C4" w:rsidRDefault="00A105C4" w:rsidP="00A105C4"/>
    <w:p w:rsidR="00A105C4" w:rsidRPr="00FF61B4" w:rsidRDefault="00A105C4" w:rsidP="00A105C4">
      <w:pPr>
        <w:spacing w:after="120"/>
        <w:rPr>
          <w:i/>
        </w:rPr>
      </w:pPr>
      <w:r w:rsidRPr="00FF61B4">
        <w:rPr>
          <w:i/>
        </w:rPr>
        <w:t>Abs</w:t>
      </w:r>
      <w:r w:rsidR="003B3091">
        <w:rPr>
          <w:i/>
        </w:rPr>
        <w:t>a</w:t>
      </w:r>
      <w:r>
        <w:rPr>
          <w:i/>
        </w:rPr>
        <w:t>tz</w:t>
      </w:r>
      <w:r w:rsidRPr="00FF61B4">
        <w:rPr>
          <w:i/>
        </w:rPr>
        <w:t xml:space="preserve"> </w:t>
      </w:r>
      <w:r w:rsidR="003B3091">
        <w:rPr>
          <w:i/>
        </w:rPr>
        <w:t>3</w:t>
      </w:r>
    </w:p>
    <w:p w:rsidR="003B3091" w:rsidRDefault="00467937" w:rsidP="00A105C4">
      <w:r w:rsidRPr="00467937">
        <w:t>Die Erscheinung von Sicherheitsunternehmen und ihrer Angestellten in der Öffentlichkeit darf zu keiner Verwechslung mit staatlichen Behörden und Institutionen Anlass geben.</w:t>
      </w:r>
      <w:r>
        <w:t xml:space="preserve"> Mit dieser Bestimmung wird die Autorität des Staates und insbesondere der Polizei </w:t>
      </w:r>
      <w:r w:rsidR="003B3091">
        <w:t>sicherg</w:t>
      </w:r>
      <w:r w:rsidR="003B3091">
        <w:t>e</w:t>
      </w:r>
      <w:r w:rsidR="003B3091">
        <w:t>stellt.</w:t>
      </w:r>
    </w:p>
    <w:p w:rsidR="003B3091" w:rsidRDefault="003B3091" w:rsidP="00A105C4"/>
    <w:p w:rsidR="003B3091" w:rsidRPr="00FF61B4" w:rsidRDefault="00F90043" w:rsidP="003B3091">
      <w:pPr>
        <w:spacing w:after="120"/>
        <w:rPr>
          <w:i/>
        </w:rPr>
      </w:pPr>
      <w:r>
        <w:rPr>
          <w:i/>
        </w:rPr>
        <w:br w:type="page"/>
      </w:r>
      <w:r w:rsidR="003B3091" w:rsidRPr="00FF61B4">
        <w:rPr>
          <w:i/>
        </w:rPr>
        <w:lastRenderedPageBreak/>
        <w:t>Abs</w:t>
      </w:r>
      <w:r w:rsidR="003B3091">
        <w:rPr>
          <w:i/>
        </w:rPr>
        <w:t>atz</w:t>
      </w:r>
      <w:r w:rsidR="003B3091" w:rsidRPr="00FF61B4">
        <w:rPr>
          <w:i/>
        </w:rPr>
        <w:t xml:space="preserve"> </w:t>
      </w:r>
      <w:r w:rsidR="003B3091">
        <w:rPr>
          <w:i/>
        </w:rPr>
        <w:t>4</w:t>
      </w:r>
    </w:p>
    <w:p w:rsidR="00A105C4" w:rsidRPr="00467937" w:rsidRDefault="00467937" w:rsidP="00A105C4">
      <w:r w:rsidRPr="00467937">
        <w:t>Werbung von Sicherheitsunternehmen, die das Sicherheitsgefühl der Bevölkerung wesen</w:t>
      </w:r>
      <w:r w:rsidRPr="00467937">
        <w:t>t</w:t>
      </w:r>
      <w:r w:rsidRPr="00467937">
        <w:t>lich beeinträchtigen kann, ist untersagt.</w:t>
      </w:r>
      <w:r>
        <w:t xml:space="preserve"> </w:t>
      </w:r>
      <w:r w:rsidR="003B3091">
        <w:t>Damit soll verhindert werden, dass Sicherheitsu</w:t>
      </w:r>
      <w:r w:rsidR="003B3091">
        <w:t>n</w:t>
      </w:r>
      <w:r w:rsidR="003B3091">
        <w:t>ternehmen das subjektive Sicherheitsgefühl der Bevölkerung herabsetzen, um anschlie</w:t>
      </w:r>
      <w:r w:rsidR="003B3091">
        <w:t>s</w:t>
      </w:r>
      <w:r w:rsidR="003B3091">
        <w:t>send eigene Dienstleistungen anbieten zu können.</w:t>
      </w:r>
    </w:p>
    <w:p w:rsidR="00A105C4" w:rsidRDefault="00A105C4" w:rsidP="00A105C4"/>
    <w:p w:rsidR="00A105C4" w:rsidRDefault="00A105C4" w:rsidP="00A105C4"/>
    <w:p w:rsidR="00513255" w:rsidRDefault="00513255" w:rsidP="00513255">
      <w:pPr>
        <w:spacing w:after="120"/>
        <w:rPr>
          <w:b/>
          <w:i/>
        </w:rPr>
      </w:pPr>
      <w:r w:rsidRPr="00D429E9">
        <w:rPr>
          <w:b/>
          <w:i/>
        </w:rPr>
        <w:t xml:space="preserve">Zu Artikel </w:t>
      </w:r>
      <w:r w:rsidR="00290A75">
        <w:rPr>
          <w:b/>
          <w:i/>
        </w:rPr>
        <w:t>14</w:t>
      </w:r>
    </w:p>
    <w:p w:rsidR="00661F7A" w:rsidRDefault="00CD51CE" w:rsidP="00661F7A">
      <w:r>
        <w:t>In Ergänzung</w:t>
      </w:r>
      <w:r w:rsidR="00661F7A">
        <w:t xml:space="preserve"> zu den </w:t>
      </w:r>
      <w:r w:rsidR="00661F7A" w:rsidRPr="00661F7A">
        <w:t>Bestimmungen des Waffenrechts des Bundes und der Kantone</w:t>
      </w:r>
      <w:r w:rsidR="00661F7A">
        <w:t xml:space="preserve"> b</w:t>
      </w:r>
      <w:r w:rsidR="00661F7A">
        <w:t>e</w:t>
      </w:r>
      <w:r w:rsidR="00661F7A">
        <w:t xml:space="preserve">stimmt Artikel </w:t>
      </w:r>
      <w:r w:rsidR="00290A75">
        <w:t>14</w:t>
      </w:r>
      <w:r w:rsidR="00661F7A">
        <w:t>, dass Waffen ausschliesslich bei den aufgezählten Sicherheitsdienstlei</w:t>
      </w:r>
      <w:r w:rsidR="00661F7A">
        <w:t>s</w:t>
      </w:r>
      <w:r w:rsidR="00661F7A">
        <w:t>tungen eingesetzt werden dürfen.</w:t>
      </w:r>
      <w:r>
        <w:t xml:space="preserve"> </w:t>
      </w:r>
      <w:r w:rsidRPr="00CD51CE">
        <w:t>Für die Bewaffnung und Ausrüstung der Sicherheitsu</w:t>
      </w:r>
      <w:r w:rsidRPr="00CD51CE">
        <w:t>n</w:t>
      </w:r>
      <w:r w:rsidRPr="00CD51CE">
        <w:t>ternehmen und des Sicherheitspersonals sind die Ausführungsvorschriften und Empfehlu</w:t>
      </w:r>
      <w:r w:rsidRPr="00CD51CE">
        <w:t>n</w:t>
      </w:r>
      <w:r w:rsidRPr="00CD51CE">
        <w:t xml:space="preserve">gen gemäss Art. </w:t>
      </w:r>
      <w:r w:rsidR="00DF5EF1">
        <w:t>17</w:t>
      </w:r>
      <w:r w:rsidRPr="00CD51CE">
        <w:t xml:space="preserve"> zu beachten.</w:t>
      </w:r>
    </w:p>
    <w:p w:rsidR="00661F7A" w:rsidRDefault="00661F7A" w:rsidP="00661F7A"/>
    <w:p w:rsidR="00661F7A" w:rsidRDefault="00661F7A" w:rsidP="00661F7A"/>
    <w:p w:rsidR="00513255" w:rsidRDefault="00513255" w:rsidP="00513255">
      <w:pPr>
        <w:spacing w:after="120"/>
        <w:rPr>
          <w:b/>
          <w:i/>
        </w:rPr>
      </w:pPr>
      <w:r w:rsidRPr="00D429E9">
        <w:rPr>
          <w:b/>
          <w:i/>
        </w:rPr>
        <w:t xml:space="preserve">Zu Artikel </w:t>
      </w:r>
      <w:r w:rsidR="00DF5EF1">
        <w:rPr>
          <w:b/>
          <w:i/>
        </w:rPr>
        <w:t>15</w:t>
      </w:r>
    </w:p>
    <w:p w:rsidR="005440C8" w:rsidRDefault="00CD51CE" w:rsidP="00513255">
      <w:r w:rsidRPr="00CD51CE">
        <w:t>Die zentralen Aufgaben und Kompetenzen betreffend das Konkordat über private Siche</w:t>
      </w:r>
      <w:r w:rsidRPr="00CD51CE">
        <w:t>r</w:t>
      </w:r>
      <w:r w:rsidRPr="00CD51CE">
        <w:t>heitsdienstleistungen liegen bei der KKJPD. Sie bezeichnet die Mitglieder der Konkordat</w:t>
      </w:r>
      <w:r w:rsidRPr="00CD51CE">
        <w:t>s</w:t>
      </w:r>
      <w:r w:rsidRPr="00CD51CE">
        <w:t>kommission, bezeichnet das Sekretariat der Konkordatskommission und beschliesst das Ausführungsrecht zum Konkordat.</w:t>
      </w:r>
      <w:r w:rsidR="00A055FB">
        <w:t xml:space="preserve"> </w:t>
      </w:r>
      <w:r w:rsidR="005440C8" w:rsidRPr="00F916D0">
        <w:t xml:space="preserve">Da es sich </w:t>
      </w:r>
      <w:r w:rsidR="005440C8">
        <w:t xml:space="preserve">bei der Konkordatskommission </w:t>
      </w:r>
      <w:r w:rsidR="005440C8" w:rsidRPr="00F916D0">
        <w:t xml:space="preserve">um ein </w:t>
      </w:r>
      <w:r w:rsidR="005440C8">
        <w:t>pr</w:t>
      </w:r>
      <w:r w:rsidR="005440C8">
        <w:t>a</w:t>
      </w:r>
      <w:r w:rsidR="005440C8">
        <w:t xml:space="preserve">xisnahes </w:t>
      </w:r>
      <w:r w:rsidR="005440C8" w:rsidRPr="00F916D0">
        <w:t xml:space="preserve">Organ handelt, </w:t>
      </w:r>
      <w:r w:rsidR="005440C8">
        <w:t xml:space="preserve">welches unter anderem der KKJPD Anträge unterbreitet, </w:t>
      </w:r>
      <w:r w:rsidR="005440C8" w:rsidRPr="00F916D0">
        <w:t xml:space="preserve">ist </w:t>
      </w:r>
      <w:r w:rsidR="005440C8">
        <w:t xml:space="preserve">das Sekretariat </w:t>
      </w:r>
      <w:r w:rsidR="005440C8" w:rsidRPr="00F916D0">
        <w:t>mit Vorteil bei</w:t>
      </w:r>
      <w:r w:rsidR="005440C8">
        <w:t xml:space="preserve"> der</w:t>
      </w:r>
      <w:r w:rsidR="005440C8" w:rsidRPr="00751F97">
        <w:t xml:space="preserve"> KKPKS </w:t>
      </w:r>
      <w:r w:rsidR="005440C8" w:rsidRPr="00F916D0">
        <w:t>a</w:t>
      </w:r>
      <w:r w:rsidR="005440C8" w:rsidRPr="00F916D0">
        <w:t>n</w:t>
      </w:r>
      <w:r w:rsidR="005440C8" w:rsidRPr="00F916D0">
        <w:t>zusiedeln</w:t>
      </w:r>
      <w:r w:rsidR="005440C8" w:rsidRPr="00751F97">
        <w:t>.</w:t>
      </w:r>
    </w:p>
    <w:p w:rsidR="005440C8" w:rsidRDefault="005440C8" w:rsidP="00513255"/>
    <w:p w:rsidR="00CD51CE" w:rsidRDefault="00CD51CE" w:rsidP="00513255"/>
    <w:p w:rsidR="00513255" w:rsidRDefault="00513255" w:rsidP="00513255">
      <w:pPr>
        <w:spacing w:after="120"/>
        <w:rPr>
          <w:b/>
          <w:i/>
        </w:rPr>
      </w:pPr>
      <w:r w:rsidRPr="00D429E9">
        <w:rPr>
          <w:b/>
          <w:i/>
        </w:rPr>
        <w:t xml:space="preserve">Zu Artikel </w:t>
      </w:r>
      <w:r w:rsidR="00DF5EF1">
        <w:rPr>
          <w:b/>
          <w:i/>
        </w:rPr>
        <w:t>16</w:t>
      </w:r>
    </w:p>
    <w:p w:rsidR="000A677A" w:rsidRDefault="00CD51CE" w:rsidP="00F23DDE">
      <w:r w:rsidRPr="00CD51CE">
        <w:t>Die Konkordatskommission besteht</w:t>
      </w:r>
      <w:r>
        <w:t xml:space="preserve"> aus </w:t>
      </w:r>
      <w:r w:rsidRPr="00803FD4">
        <w:t>Vertreterin</w:t>
      </w:r>
      <w:r>
        <w:t>nen</w:t>
      </w:r>
      <w:r w:rsidRPr="00803FD4">
        <w:t xml:space="preserve"> </w:t>
      </w:r>
      <w:r>
        <w:t xml:space="preserve">und </w:t>
      </w:r>
      <w:r w:rsidRPr="00803FD4">
        <w:t xml:space="preserve">Vertreter </w:t>
      </w:r>
      <w:r>
        <w:t xml:space="preserve">der </w:t>
      </w:r>
      <w:r w:rsidRPr="00803FD4">
        <w:t>Polizeiko</w:t>
      </w:r>
      <w:r w:rsidRPr="00803FD4">
        <w:t>n</w:t>
      </w:r>
      <w:r w:rsidRPr="00803FD4">
        <w:t>kordat</w:t>
      </w:r>
      <w:r>
        <w:t>e sowie jener beiden Kantone</w:t>
      </w:r>
      <w:r w:rsidR="00F23DDE">
        <w:t xml:space="preserve"> (</w:t>
      </w:r>
      <w:r w:rsidR="00F23DDE" w:rsidRPr="00803FD4">
        <w:t>Zürich und Tessin</w:t>
      </w:r>
      <w:r w:rsidR="00F23DDE">
        <w:t>)</w:t>
      </w:r>
      <w:r>
        <w:t xml:space="preserve">, welche keinem Polizeikonkordat </w:t>
      </w:r>
      <w:r w:rsidR="00F916D0">
        <w:t>angeh</w:t>
      </w:r>
      <w:r w:rsidR="00F916D0">
        <w:t>ö</w:t>
      </w:r>
      <w:r w:rsidR="00F916D0">
        <w:t>ren</w:t>
      </w:r>
      <w:r>
        <w:t>.</w:t>
      </w:r>
      <w:r w:rsidR="00F23DDE">
        <w:t xml:space="preserve"> Die Konkordate und Kantone können mit einem Regierungsmitglied oder mit einer a</w:t>
      </w:r>
      <w:r w:rsidR="00F23DDE">
        <w:t>n</w:t>
      </w:r>
      <w:r w:rsidR="00F23DDE">
        <w:t>deren Person in der Konkordatskommission vertreten sein, wobei m</w:t>
      </w:r>
      <w:r w:rsidR="00F23DDE" w:rsidRPr="00F23DDE">
        <w:t xml:space="preserve">indestens die Hälfte der Mitglieder </w:t>
      </w:r>
      <w:r w:rsidR="00F23DDE">
        <w:t>aus Regierungsvertretern bestehen muss und ein Regierungsvertreter</w:t>
      </w:r>
      <w:r w:rsidR="00F23DDE" w:rsidRPr="00F23DDE">
        <w:t xml:space="preserve"> den Vo</w:t>
      </w:r>
      <w:r w:rsidR="00F23DDE" w:rsidRPr="00F23DDE">
        <w:t>r</w:t>
      </w:r>
      <w:r w:rsidR="00F23DDE" w:rsidRPr="00F23DDE">
        <w:t>sitz</w:t>
      </w:r>
      <w:r w:rsidR="00F23DDE">
        <w:t xml:space="preserve"> </w:t>
      </w:r>
      <w:r w:rsidR="00F23DDE" w:rsidRPr="00F23DDE">
        <w:t>führt</w:t>
      </w:r>
      <w:r w:rsidR="00F23DDE">
        <w:t xml:space="preserve">. </w:t>
      </w:r>
      <w:r w:rsidR="00F23DDE" w:rsidRPr="00F23DDE">
        <w:t>Bei Bedarf zieht die Kommission Vertreterinnen und Vertreter der Branche der S</w:t>
      </w:r>
      <w:r w:rsidR="00F23DDE" w:rsidRPr="00F23DDE">
        <w:t>i</w:t>
      </w:r>
      <w:r w:rsidR="00F23DDE" w:rsidRPr="00F23DDE">
        <w:t>cherheitsunternehmen bei</w:t>
      </w:r>
      <w:r w:rsidR="00F23DDE">
        <w:t xml:space="preserve">, welche </w:t>
      </w:r>
      <w:r w:rsidR="005440C8">
        <w:t>beratende Stimme haben.</w:t>
      </w:r>
    </w:p>
    <w:p w:rsidR="00CD51CE" w:rsidRDefault="00CD51CE" w:rsidP="00CD51CE"/>
    <w:p w:rsidR="00CD51CE" w:rsidRDefault="00CD51CE" w:rsidP="00CD51CE"/>
    <w:p w:rsidR="000A677A" w:rsidRDefault="000A677A" w:rsidP="000A677A">
      <w:pPr>
        <w:spacing w:after="120"/>
        <w:rPr>
          <w:b/>
          <w:i/>
        </w:rPr>
      </w:pPr>
      <w:r w:rsidRPr="00D429E9">
        <w:rPr>
          <w:b/>
          <w:i/>
        </w:rPr>
        <w:t xml:space="preserve">Zu Artikel </w:t>
      </w:r>
      <w:r w:rsidR="00DF5EF1">
        <w:rPr>
          <w:b/>
          <w:i/>
        </w:rPr>
        <w:t>17</w:t>
      </w:r>
    </w:p>
    <w:p w:rsidR="00320BA9" w:rsidRPr="00FF61B4" w:rsidRDefault="00320BA9" w:rsidP="00320BA9">
      <w:pPr>
        <w:spacing w:after="120"/>
        <w:rPr>
          <w:i/>
        </w:rPr>
      </w:pPr>
      <w:r w:rsidRPr="00FF61B4">
        <w:rPr>
          <w:i/>
        </w:rPr>
        <w:t>Abs</w:t>
      </w:r>
      <w:r>
        <w:rPr>
          <w:i/>
        </w:rPr>
        <w:t>ätze 1 und 2</w:t>
      </w:r>
    </w:p>
    <w:p w:rsidR="00BE4728" w:rsidRDefault="00D925C9" w:rsidP="00BE4728">
      <w:r>
        <w:t xml:space="preserve">Die Konkordatskommission </w:t>
      </w:r>
      <w:r w:rsidRPr="00D925C9">
        <w:t>beantragt Ausführungsrecht</w:t>
      </w:r>
      <w:r>
        <w:t xml:space="preserve"> und </w:t>
      </w:r>
      <w:r w:rsidRPr="00D925C9">
        <w:t>erlässt Empfehlungen</w:t>
      </w:r>
      <w:r>
        <w:t xml:space="preserve"> insb</w:t>
      </w:r>
      <w:r>
        <w:t>e</w:t>
      </w:r>
      <w:r>
        <w:t>sondere über:</w:t>
      </w:r>
    </w:p>
    <w:p w:rsidR="00D925C9" w:rsidRDefault="00D925C9" w:rsidP="00D925C9">
      <w:pPr>
        <w:numPr>
          <w:ilvl w:val="0"/>
          <w:numId w:val="7"/>
        </w:numPr>
        <w:spacing w:before="120"/>
        <w:ind w:hanging="352"/>
      </w:pPr>
      <w:r w:rsidRPr="00D925C9">
        <w:t>den Begriff der Sicherheitsdienstleistungen (Art. 3 Abs. 1 Bst. a</w:t>
      </w:r>
      <w:r w:rsidR="00320BA9">
        <w:t xml:space="preserve"> </w:t>
      </w:r>
      <w:r w:rsidR="00320BA9" w:rsidRPr="00320BA9">
        <w:t>und Abs. 2</w:t>
      </w:r>
      <w:r w:rsidRPr="00D925C9">
        <w:t>)</w:t>
      </w:r>
      <w:r w:rsidR="00CB5DAF">
        <w:t>;</w:t>
      </w:r>
    </w:p>
    <w:p w:rsidR="009F156F" w:rsidRDefault="009F156F" w:rsidP="00D925C9">
      <w:pPr>
        <w:numPr>
          <w:ilvl w:val="0"/>
          <w:numId w:val="7"/>
        </w:numPr>
        <w:spacing w:before="120"/>
        <w:ind w:hanging="352"/>
      </w:pPr>
      <w:r>
        <w:t>Ausnahmen von der Bewilligungspflicht</w:t>
      </w:r>
      <w:r w:rsidR="004A6E8F">
        <w:t xml:space="preserve"> (Art. 4 Abs.3);</w:t>
      </w:r>
    </w:p>
    <w:p w:rsidR="00CB5DAF" w:rsidRDefault="00CB5DAF" w:rsidP="00D925C9">
      <w:pPr>
        <w:numPr>
          <w:ilvl w:val="0"/>
          <w:numId w:val="7"/>
        </w:numPr>
        <w:spacing w:before="120"/>
        <w:ind w:hanging="352"/>
      </w:pPr>
      <w:r w:rsidRPr="00CB5DAF">
        <w:t>das Bewilligungsverfahren</w:t>
      </w:r>
      <w:r>
        <w:t xml:space="preserve"> (Art. 5</w:t>
      </w:r>
      <w:r w:rsidR="005440C8">
        <w:t>–</w:t>
      </w:r>
      <w:r w:rsidR="00197136">
        <w:t>8</w:t>
      </w:r>
      <w:r>
        <w:t>);</w:t>
      </w:r>
    </w:p>
    <w:p w:rsidR="00D60801" w:rsidRDefault="00D60801" w:rsidP="00D925C9">
      <w:pPr>
        <w:numPr>
          <w:ilvl w:val="0"/>
          <w:numId w:val="7"/>
        </w:numPr>
        <w:spacing w:before="120"/>
        <w:ind w:hanging="352"/>
      </w:pPr>
      <w:r w:rsidRPr="00D60801">
        <w:t>Inhalt und Umfang der Aus- und Weiterbildung von Sicherheitsangestellten (Art. 11)</w:t>
      </w:r>
      <w:r w:rsidR="00320BA9">
        <w:t>;</w:t>
      </w:r>
    </w:p>
    <w:p w:rsidR="00E52CF1" w:rsidRDefault="00CB5DAF" w:rsidP="00D925C9">
      <w:pPr>
        <w:numPr>
          <w:ilvl w:val="0"/>
          <w:numId w:val="7"/>
        </w:numPr>
        <w:spacing w:before="120"/>
        <w:ind w:hanging="352"/>
      </w:pPr>
      <w:r w:rsidRPr="00CB5DAF">
        <w:t>die für Sicherheitsunternehmen und Sicherheitsangestellte verbotene Ausrüstu</w:t>
      </w:r>
      <w:r w:rsidR="005440C8">
        <w:t xml:space="preserve">ng und erlaubten Waffen (Art. </w:t>
      </w:r>
      <w:r w:rsidR="00290A75">
        <w:t>14</w:t>
      </w:r>
      <w:r w:rsidRPr="00CB5DAF">
        <w:t xml:space="preserve"> Abs. 2)</w:t>
      </w:r>
      <w:r w:rsidR="00E52CF1">
        <w:t>;</w:t>
      </w:r>
    </w:p>
    <w:p w:rsidR="00CB5DAF" w:rsidRDefault="00E52CF1" w:rsidP="00D925C9">
      <w:pPr>
        <w:numPr>
          <w:ilvl w:val="0"/>
          <w:numId w:val="7"/>
        </w:numPr>
        <w:spacing w:before="120"/>
        <w:ind w:hanging="352"/>
      </w:pPr>
      <w:r w:rsidRPr="00E52CF1">
        <w:t>die Anerkennung von ausserhalb des Konkordatsgebiets erlangten Fähigkeiten, Di</w:t>
      </w:r>
      <w:r w:rsidRPr="00E52CF1">
        <w:t>p</w:t>
      </w:r>
      <w:r w:rsidRPr="00E52CF1">
        <w:t>lomen, Bewilligungen, Dokumenten jeglicher Art und weiterer Erkenntnisse (Art. 5, Art. 6, Art. 7 Abs. 2 und Art. 11)</w:t>
      </w:r>
      <w:r w:rsidR="00CB5DAF">
        <w:t>.</w:t>
      </w:r>
    </w:p>
    <w:p w:rsidR="00D925C9" w:rsidRDefault="00D925C9" w:rsidP="00BE4728"/>
    <w:p w:rsidR="000F7587" w:rsidRDefault="00CB5DAF" w:rsidP="000F7587">
      <w:pPr>
        <w:rPr>
          <w:rFonts w:cs="Arial"/>
        </w:rPr>
      </w:pPr>
      <w:r>
        <w:t xml:space="preserve">Betreffend Bewilligungsverfahren kann die Konkordatskommission beispielsweise festlegen, dass </w:t>
      </w:r>
      <w:r w:rsidR="000F7587">
        <w:rPr>
          <w:rFonts w:cs="Arial"/>
        </w:rPr>
        <w:t>f</w:t>
      </w:r>
      <w:r w:rsidR="000F7587" w:rsidRPr="006D158F">
        <w:rPr>
          <w:rFonts w:cs="Arial"/>
        </w:rPr>
        <w:t xml:space="preserve">remdsprachige </w:t>
      </w:r>
      <w:r>
        <w:rPr>
          <w:rFonts w:cs="Arial"/>
        </w:rPr>
        <w:t>Unterlagen</w:t>
      </w:r>
      <w:r w:rsidR="000F7587" w:rsidRPr="006D158F">
        <w:rPr>
          <w:rFonts w:cs="Arial"/>
        </w:rPr>
        <w:t xml:space="preserve"> mit einer </w:t>
      </w:r>
      <w:r w:rsidR="000F7587">
        <w:rPr>
          <w:rFonts w:cs="Arial"/>
        </w:rPr>
        <w:t>beglaubigten</w:t>
      </w:r>
      <w:r w:rsidR="000F7587" w:rsidRPr="006D158F">
        <w:rPr>
          <w:rFonts w:cs="Arial"/>
        </w:rPr>
        <w:t xml:space="preserve"> Übersetzung eingereicht werden</w:t>
      </w:r>
      <w:r w:rsidR="000F7587">
        <w:rPr>
          <w:rFonts w:cs="Arial"/>
        </w:rPr>
        <w:t xml:space="preserve"> </w:t>
      </w:r>
      <w:r w:rsidR="000F7587">
        <w:rPr>
          <w:rFonts w:cs="Arial"/>
        </w:rPr>
        <w:lastRenderedPageBreak/>
        <w:t>müssen</w:t>
      </w:r>
      <w:r>
        <w:rPr>
          <w:rFonts w:cs="Arial"/>
        </w:rPr>
        <w:t xml:space="preserve"> oder dass die Prüfungen über die theoretische Grundausbildung </w:t>
      </w:r>
      <w:r w:rsidR="000F7587" w:rsidRPr="006D158F">
        <w:rPr>
          <w:rFonts w:cs="Arial"/>
        </w:rPr>
        <w:t xml:space="preserve">nur in den </w:t>
      </w:r>
      <w:r w:rsidR="000F7587">
        <w:rPr>
          <w:rFonts w:cs="Arial"/>
        </w:rPr>
        <w:t>Amt</w:t>
      </w:r>
      <w:r w:rsidR="000F7587">
        <w:rPr>
          <w:rFonts w:cs="Arial"/>
        </w:rPr>
        <w:t>s</w:t>
      </w:r>
      <w:r w:rsidR="000F7587">
        <w:rPr>
          <w:rFonts w:cs="Arial"/>
        </w:rPr>
        <w:t xml:space="preserve">sprachen der dem </w:t>
      </w:r>
      <w:r w:rsidR="000F7587" w:rsidRPr="006D158F">
        <w:rPr>
          <w:rFonts w:cs="Arial"/>
        </w:rPr>
        <w:t>Konkordat</w:t>
      </w:r>
      <w:r w:rsidR="000F7587">
        <w:rPr>
          <w:rFonts w:cs="Arial"/>
        </w:rPr>
        <w:t xml:space="preserve"> beigetretenen Kantone </w:t>
      </w:r>
      <w:r w:rsidR="000F7587" w:rsidRPr="006D158F">
        <w:rPr>
          <w:rFonts w:cs="Arial"/>
        </w:rPr>
        <w:t>a</w:t>
      </w:r>
      <w:r w:rsidR="000F7587" w:rsidRPr="006D158F">
        <w:rPr>
          <w:rFonts w:cs="Arial"/>
        </w:rPr>
        <w:t>b</w:t>
      </w:r>
      <w:r w:rsidR="000F7587" w:rsidRPr="006D158F">
        <w:rPr>
          <w:rFonts w:cs="Arial"/>
        </w:rPr>
        <w:t>gelegt werden</w:t>
      </w:r>
      <w:r>
        <w:rPr>
          <w:rFonts w:cs="Arial"/>
        </w:rPr>
        <w:t xml:space="preserve"> können</w:t>
      </w:r>
      <w:r w:rsidR="000F7587" w:rsidRPr="006D158F">
        <w:rPr>
          <w:rFonts w:cs="Arial"/>
        </w:rPr>
        <w:t>.</w:t>
      </w:r>
    </w:p>
    <w:p w:rsidR="00DE6AF2" w:rsidRDefault="00DE6AF2" w:rsidP="000F7587">
      <w:pPr>
        <w:rPr>
          <w:rFonts w:cs="Arial"/>
        </w:rPr>
      </w:pPr>
    </w:p>
    <w:p w:rsidR="00DE6AF2" w:rsidRPr="00DE6AF2" w:rsidRDefault="00DE6AF2" w:rsidP="00F10E97">
      <w:pPr>
        <w:rPr>
          <w:rFonts w:cs="Arial"/>
        </w:rPr>
      </w:pPr>
      <w:r>
        <w:rPr>
          <w:rFonts w:cs="Arial"/>
        </w:rPr>
        <w:t>Im Bereich der Aus- und Weiterbildung legen die KKJPD und die Konkordatsko</w:t>
      </w:r>
      <w:r>
        <w:rPr>
          <w:rFonts w:cs="Arial"/>
        </w:rPr>
        <w:t>m</w:t>
      </w:r>
      <w:r>
        <w:rPr>
          <w:rFonts w:cs="Arial"/>
        </w:rPr>
        <w:t xml:space="preserve">mission die Eckwerte fest. Zum Inhalt der theoretischen </w:t>
      </w:r>
      <w:r w:rsidR="00016160">
        <w:rPr>
          <w:rFonts w:cs="Arial"/>
        </w:rPr>
        <w:t>Grund</w:t>
      </w:r>
      <w:r>
        <w:rPr>
          <w:rFonts w:cs="Arial"/>
        </w:rPr>
        <w:t xml:space="preserve">ausbildung </w:t>
      </w:r>
      <w:r w:rsidR="001A6508">
        <w:rPr>
          <w:rFonts w:cs="Arial"/>
        </w:rPr>
        <w:t>für Sicherheit</w:t>
      </w:r>
      <w:r w:rsidR="001A6508">
        <w:rPr>
          <w:rFonts w:cs="Arial"/>
        </w:rPr>
        <w:t>s</w:t>
      </w:r>
      <w:r w:rsidR="001A6508">
        <w:rPr>
          <w:rFonts w:cs="Arial"/>
        </w:rPr>
        <w:t xml:space="preserve">angestellte </w:t>
      </w:r>
      <w:r>
        <w:rPr>
          <w:rFonts w:cs="Arial"/>
        </w:rPr>
        <w:t>(Art. 5</w:t>
      </w:r>
      <w:r w:rsidR="001A6508">
        <w:rPr>
          <w:rFonts w:cs="Arial"/>
        </w:rPr>
        <w:t xml:space="preserve"> Abs. 1 Bst. c</w:t>
      </w:r>
      <w:r>
        <w:rPr>
          <w:rFonts w:cs="Arial"/>
        </w:rPr>
        <w:t>) könnten etwa folgende Bereiche zählen:</w:t>
      </w:r>
      <w:r w:rsidR="001A6508">
        <w:rPr>
          <w:rFonts w:cs="Arial"/>
        </w:rPr>
        <w:t xml:space="preserve"> </w:t>
      </w:r>
      <w:r w:rsidR="001A6508" w:rsidRPr="001A6508">
        <w:rPr>
          <w:rFonts w:cs="Arial"/>
        </w:rPr>
        <w:t>Rechtskunde</w:t>
      </w:r>
      <w:r w:rsidR="001A6508">
        <w:rPr>
          <w:rFonts w:cs="Arial"/>
        </w:rPr>
        <w:t xml:space="preserve">, </w:t>
      </w:r>
      <w:r w:rsidR="001A6508" w:rsidRPr="001A6508">
        <w:rPr>
          <w:rFonts w:cs="Arial"/>
        </w:rPr>
        <w:t>Staatskunde</w:t>
      </w:r>
      <w:r w:rsidR="001A6508">
        <w:rPr>
          <w:rFonts w:cs="Arial"/>
        </w:rPr>
        <w:t xml:space="preserve">, </w:t>
      </w:r>
      <w:r w:rsidR="001A6508" w:rsidRPr="001A6508">
        <w:rPr>
          <w:rFonts w:cs="Arial"/>
        </w:rPr>
        <w:t>Ethik/Sozialkompetenz</w:t>
      </w:r>
      <w:r w:rsidR="001A6508">
        <w:rPr>
          <w:rFonts w:cs="Arial"/>
        </w:rPr>
        <w:t xml:space="preserve">, </w:t>
      </w:r>
      <w:r w:rsidR="001A6508" w:rsidRPr="001A6508">
        <w:rPr>
          <w:rFonts w:cs="Arial"/>
        </w:rPr>
        <w:t>Allgemeinbildung</w:t>
      </w:r>
      <w:r w:rsidR="001A6508">
        <w:rPr>
          <w:rFonts w:cs="Arial"/>
        </w:rPr>
        <w:t xml:space="preserve">, </w:t>
      </w:r>
      <w:r w:rsidR="001A6508" w:rsidRPr="001A6508">
        <w:rPr>
          <w:rFonts w:cs="Arial"/>
        </w:rPr>
        <w:t>Erste Hilfe</w:t>
      </w:r>
      <w:r w:rsidR="001A6508">
        <w:rPr>
          <w:rFonts w:cs="Arial"/>
        </w:rPr>
        <w:t xml:space="preserve">. Zur theoretischen </w:t>
      </w:r>
      <w:r w:rsidR="00016160">
        <w:rPr>
          <w:rFonts w:cs="Arial"/>
        </w:rPr>
        <w:t>Grund</w:t>
      </w:r>
      <w:r w:rsidR="001A6508">
        <w:rPr>
          <w:rFonts w:cs="Arial"/>
        </w:rPr>
        <w:t>ausbildung der Geschäftsführer (Art. 5 Abs. 2 Bst. c) könnten unter anderem Kenntnisse im Arbeit</w:t>
      </w:r>
      <w:r w:rsidR="001A6508">
        <w:rPr>
          <w:rFonts w:cs="Arial"/>
        </w:rPr>
        <w:t>s</w:t>
      </w:r>
      <w:r w:rsidR="001A6508">
        <w:rPr>
          <w:rFonts w:cs="Arial"/>
        </w:rPr>
        <w:t>recht, im Steuerrecht und des Konkordats zählen.</w:t>
      </w:r>
      <w:r w:rsidR="00016160">
        <w:rPr>
          <w:rFonts w:cs="Arial"/>
        </w:rPr>
        <w:t xml:space="preserve"> Die Konkordatskommission erlässt Em</w:t>
      </w:r>
      <w:r w:rsidR="00016160">
        <w:rPr>
          <w:rFonts w:cs="Arial"/>
        </w:rPr>
        <w:t>p</w:t>
      </w:r>
      <w:r w:rsidR="00016160">
        <w:rPr>
          <w:rFonts w:cs="Arial"/>
        </w:rPr>
        <w:t>fehlungen zum Prüfungsinhalt für den Einsatz von Diensthunden (Art. 6 Abs. 2)</w:t>
      </w:r>
      <w:r w:rsidR="00F437FE">
        <w:rPr>
          <w:rFonts w:cs="Arial"/>
        </w:rPr>
        <w:t>; d</w:t>
      </w:r>
      <w:r w:rsidR="00F437FE" w:rsidRPr="0025076F">
        <w:t>er Pr</w:t>
      </w:r>
      <w:r w:rsidR="00F437FE" w:rsidRPr="0025076F">
        <w:t>ü</w:t>
      </w:r>
      <w:r w:rsidR="00F437FE" w:rsidRPr="0025076F">
        <w:t>fungsinhalt soll im Wesentlichen den von den Hundevereinen anerkannten Standardanfo</w:t>
      </w:r>
      <w:r w:rsidR="00F437FE" w:rsidRPr="0025076F">
        <w:t>r</w:t>
      </w:r>
      <w:r w:rsidR="00F437FE" w:rsidRPr="0025076F">
        <w:t>derungen entsprechen.</w:t>
      </w:r>
      <w:r w:rsidR="00016160">
        <w:rPr>
          <w:rFonts w:cs="Arial"/>
        </w:rPr>
        <w:t xml:space="preserve"> </w:t>
      </w:r>
      <w:r w:rsidR="00BB4633">
        <w:rPr>
          <w:rFonts w:cs="Arial"/>
        </w:rPr>
        <w:t>Die betriebsinterne Aus- und Weiterbildung (Art. 11) betrifft im W</w:t>
      </w:r>
      <w:r w:rsidR="00BB4633">
        <w:rPr>
          <w:rFonts w:cs="Arial"/>
        </w:rPr>
        <w:t>e</w:t>
      </w:r>
      <w:r w:rsidR="00BB4633">
        <w:rPr>
          <w:rFonts w:cs="Arial"/>
        </w:rPr>
        <w:t xml:space="preserve">sentlichen die Bereiche </w:t>
      </w:r>
      <w:r w:rsidR="00BB4633" w:rsidRPr="00DE6AF2">
        <w:rPr>
          <w:rFonts w:cs="Arial"/>
        </w:rPr>
        <w:t>Branchenkunde</w:t>
      </w:r>
      <w:r w:rsidR="00BB4633">
        <w:rPr>
          <w:rFonts w:cs="Arial"/>
        </w:rPr>
        <w:t>,</w:t>
      </w:r>
      <w:r w:rsidR="00BB4633" w:rsidRPr="00DE6AF2">
        <w:rPr>
          <w:rFonts w:cs="Arial"/>
        </w:rPr>
        <w:t xml:space="preserve"> Betriebskunde, Fachkunde</w:t>
      </w:r>
      <w:r w:rsidR="00BB4633">
        <w:rPr>
          <w:rFonts w:cs="Arial"/>
        </w:rPr>
        <w:t xml:space="preserve">, </w:t>
      </w:r>
      <w:r w:rsidR="00BB4633" w:rsidRPr="00DE6AF2">
        <w:rPr>
          <w:rFonts w:cs="Arial"/>
        </w:rPr>
        <w:t>Rechtskunde</w:t>
      </w:r>
      <w:r w:rsidR="00BB4633">
        <w:rPr>
          <w:rFonts w:cs="Arial"/>
        </w:rPr>
        <w:t xml:space="preserve"> </w:t>
      </w:r>
      <w:r w:rsidR="00BB4633" w:rsidRPr="00DE6AF2">
        <w:rPr>
          <w:rFonts w:cs="Arial"/>
        </w:rPr>
        <w:t>und S</w:t>
      </w:r>
      <w:r w:rsidR="00BB4633" w:rsidRPr="00DE6AF2">
        <w:rPr>
          <w:rFonts w:cs="Arial"/>
        </w:rPr>
        <w:t>o</w:t>
      </w:r>
      <w:r w:rsidR="00BB4633" w:rsidRPr="00DE6AF2">
        <w:rPr>
          <w:rFonts w:cs="Arial"/>
        </w:rPr>
        <w:t>zi</w:t>
      </w:r>
      <w:r w:rsidR="00BB4633">
        <w:rPr>
          <w:rFonts w:cs="Arial"/>
        </w:rPr>
        <w:t xml:space="preserve">alkompetenz. Je nach Einsatzbereich fallen unter die Aus- und Weiterbildung </w:t>
      </w:r>
      <w:r w:rsidR="00F10E97">
        <w:rPr>
          <w:rFonts w:cs="Arial"/>
        </w:rPr>
        <w:t>insbesond</w:t>
      </w:r>
      <w:r w:rsidR="00F10E97">
        <w:rPr>
          <w:rFonts w:cs="Arial"/>
        </w:rPr>
        <w:t>e</w:t>
      </w:r>
      <w:r w:rsidR="00F10E97">
        <w:rPr>
          <w:rFonts w:cs="Arial"/>
        </w:rPr>
        <w:t xml:space="preserve">re </w:t>
      </w:r>
      <w:r w:rsidR="00BB4633">
        <w:rPr>
          <w:rFonts w:cs="Arial"/>
        </w:rPr>
        <w:t xml:space="preserve">folgende Bereiche: </w:t>
      </w:r>
      <w:r w:rsidR="00BB4633" w:rsidRPr="00DE6AF2">
        <w:t>Allg. Berufskunde</w:t>
      </w:r>
      <w:r w:rsidR="00BB4633">
        <w:t xml:space="preserve">, </w:t>
      </w:r>
      <w:r w:rsidR="00BB4633" w:rsidRPr="00DE6AF2">
        <w:t>Selbstmanagement</w:t>
      </w:r>
      <w:r w:rsidR="00BB4633">
        <w:t xml:space="preserve">, Stressmanagement, </w:t>
      </w:r>
      <w:r w:rsidR="00BB4633" w:rsidRPr="00DE6AF2">
        <w:t>Komm</w:t>
      </w:r>
      <w:r w:rsidR="00BB4633" w:rsidRPr="00DE6AF2">
        <w:t>u</w:t>
      </w:r>
      <w:r w:rsidR="00BB4633" w:rsidRPr="00DE6AF2">
        <w:t>nikation</w:t>
      </w:r>
      <w:r w:rsidR="00BB4633">
        <w:t xml:space="preserve">, Deeskalation, </w:t>
      </w:r>
      <w:r w:rsidR="00BB4633" w:rsidRPr="00DE6AF2">
        <w:t>Umgangsformen (Knigge)</w:t>
      </w:r>
      <w:r w:rsidR="00BB4633">
        <w:t xml:space="preserve">, Firmenkenntnisse, </w:t>
      </w:r>
      <w:r w:rsidR="00BB4633" w:rsidRPr="00DE6AF2">
        <w:t>Rechtskunde</w:t>
      </w:r>
      <w:r w:rsidR="00BB4633">
        <w:t xml:space="preserve">, Erste Hilfe, </w:t>
      </w:r>
      <w:r w:rsidR="00BB4633" w:rsidRPr="00DE6AF2">
        <w:t>Eigenschutz</w:t>
      </w:r>
      <w:r w:rsidR="00BB4633">
        <w:t>, B</w:t>
      </w:r>
      <w:r w:rsidR="00BB4633">
        <w:t>e</w:t>
      </w:r>
      <w:r w:rsidR="00BB4633">
        <w:t xml:space="preserve">sondere Vorkommnisse, </w:t>
      </w:r>
      <w:r w:rsidR="00BB4633" w:rsidRPr="00DE6AF2">
        <w:t>Krisenverhalten</w:t>
      </w:r>
      <w:r w:rsidR="00BB4633">
        <w:t xml:space="preserve">, Alarmierung, </w:t>
      </w:r>
      <w:r w:rsidR="00BB4633" w:rsidRPr="00DE6AF2">
        <w:t>Rapport- und Meldewesen</w:t>
      </w:r>
      <w:r w:rsidR="00BB4633">
        <w:t xml:space="preserve">, Identitätskontrolle, </w:t>
      </w:r>
      <w:r w:rsidR="00BB4633" w:rsidRPr="00DE6AF2">
        <w:t>Personen- und Effektenkontrolle</w:t>
      </w:r>
      <w:r w:rsidR="00BB4633">
        <w:t xml:space="preserve">, Schliessanlagen, </w:t>
      </w:r>
      <w:r w:rsidR="00BB4633" w:rsidRPr="00DE6AF2">
        <w:t>Alar</w:t>
      </w:r>
      <w:r w:rsidR="00BB4633" w:rsidRPr="00DE6AF2">
        <w:t>m</w:t>
      </w:r>
      <w:r w:rsidR="00BB4633" w:rsidRPr="00DE6AF2">
        <w:t>anlagen</w:t>
      </w:r>
      <w:r w:rsidR="00BB4633">
        <w:t xml:space="preserve">, Gebäudetechnik, </w:t>
      </w:r>
      <w:r w:rsidR="00BB4633" w:rsidRPr="00DE6AF2">
        <w:t>Funk</w:t>
      </w:r>
      <w:r w:rsidR="00BB4633">
        <w:t xml:space="preserve">, Kontrolluhr, </w:t>
      </w:r>
      <w:r w:rsidR="00BB4633" w:rsidRPr="00DE6AF2">
        <w:t>Anti-Attack-Spray</w:t>
      </w:r>
      <w:r w:rsidR="00BB4633">
        <w:t xml:space="preserve">, Schlagstock, </w:t>
      </w:r>
      <w:r w:rsidR="00BB4633" w:rsidRPr="00DE6AF2">
        <w:t>Handfeue</w:t>
      </w:r>
      <w:r w:rsidR="00BB4633" w:rsidRPr="00DE6AF2">
        <w:t>r</w:t>
      </w:r>
      <w:r w:rsidR="00BB4633" w:rsidRPr="00DE6AF2">
        <w:t>waffe</w:t>
      </w:r>
      <w:r w:rsidR="00BB4633">
        <w:t xml:space="preserve">, </w:t>
      </w:r>
      <w:r w:rsidR="00BB4633" w:rsidRPr="00DE6AF2">
        <w:t>Selbstverteidigung</w:t>
      </w:r>
      <w:r w:rsidR="00F10E97">
        <w:t>. Je nach Einsatzbereich sind zusätzlich dazu beispielsweise fo</w:t>
      </w:r>
      <w:r w:rsidR="00F10E97">
        <w:t>l</w:t>
      </w:r>
      <w:r w:rsidR="00F10E97">
        <w:t xml:space="preserve">gende spezifischen Aus- und Weiterbildungen nötig: </w:t>
      </w:r>
      <w:r w:rsidRPr="00DE6AF2">
        <w:rPr>
          <w:rFonts w:cs="Arial"/>
        </w:rPr>
        <w:t>Veranstaltungsdienst</w:t>
      </w:r>
      <w:r w:rsidR="00F10E97">
        <w:rPr>
          <w:rFonts w:cs="Arial"/>
        </w:rPr>
        <w:t xml:space="preserve">, </w:t>
      </w:r>
      <w:r w:rsidRPr="00DE6AF2">
        <w:rPr>
          <w:rFonts w:cs="Arial"/>
        </w:rPr>
        <w:t>Bewachung</w:t>
      </w:r>
      <w:r w:rsidRPr="00DE6AF2">
        <w:rPr>
          <w:rFonts w:cs="Arial"/>
        </w:rPr>
        <w:t>s</w:t>
      </w:r>
      <w:r w:rsidRPr="00DE6AF2">
        <w:rPr>
          <w:rFonts w:cs="Arial"/>
        </w:rPr>
        <w:t>dienst</w:t>
      </w:r>
      <w:r w:rsidR="00F10E97">
        <w:rPr>
          <w:rFonts w:cs="Arial"/>
        </w:rPr>
        <w:t xml:space="preserve">, Revierbewachungsdienst, </w:t>
      </w:r>
      <w:r w:rsidRPr="00DE6AF2">
        <w:rPr>
          <w:rFonts w:cs="Arial"/>
        </w:rPr>
        <w:t>Aufsichtsdie</w:t>
      </w:r>
      <w:r w:rsidR="00F10E97">
        <w:rPr>
          <w:rFonts w:cs="Arial"/>
        </w:rPr>
        <w:t xml:space="preserve">nst, </w:t>
      </w:r>
      <w:r w:rsidRPr="00DE6AF2">
        <w:rPr>
          <w:rFonts w:cs="Arial"/>
        </w:rPr>
        <w:t>Empfangsdienst / Hospitality-Dienst</w:t>
      </w:r>
      <w:r w:rsidR="00F10E97">
        <w:rPr>
          <w:rFonts w:cs="Arial"/>
        </w:rPr>
        <w:t>, Ve</w:t>
      </w:r>
      <w:r w:rsidR="00F10E97">
        <w:rPr>
          <w:rFonts w:cs="Arial"/>
        </w:rPr>
        <w:t>r</w:t>
      </w:r>
      <w:r w:rsidR="00F10E97">
        <w:rPr>
          <w:rFonts w:cs="Arial"/>
        </w:rPr>
        <w:t xml:space="preserve">kehrsdienst, </w:t>
      </w:r>
      <w:r w:rsidRPr="00DE6AF2">
        <w:rPr>
          <w:rFonts w:cs="Arial"/>
        </w:rPr>
        <w:t>Siche</w:t>
      </w:r>
      <w:r w:rsidRPr="00DE6AF2">
        <w:rPr>
          <w:rFonts w:cs="Arial"/>
        </w:rPr>
        <w:t>r</w:t>
      </w:r>
      <w:r w:rsidRPr="00DE6AF2">
        <w:rPr>
          <w:rFonts w:cs="Arial"/>
        </w:rPr>
        <w:t>heitszentralist</w:t>
      </w:r>
      <w:r w:rsidR="00F10E97">
        <w:rPr>
          <w:rFonts w:cs="Arial"/>
        </w:rPr>
        <w:t xml:space="preserve">, </w:t>
      </w:r>
      <w:r w:rsidRPr="00DE6AF2">
        <w:rPr>
          <w:rFonts w:cs="Arial"/>
        </w:rPr>
        <w:t>Interventionsdienst</w:t>
      </w:r>
      <w:r w:rsidR="00F10E97">
        <w:rPr>
          <w:rFonts w:cs="Arial"/>
        </w:rPr>
        <w:t xml:space="preserve">, </w:t>
      </w:r>
      <w:r w:rsidRPr="00DE6AF2">
        <w:rPr>
          <w:rFonts w:cs="Arial"/>
        </w:rPr>
        <w:t>Diensthundeführer</w:t>
      </w:r>
      <w:r w:rsidR="00F10E97">
        <w:rPr>
          <w:rFonts w:cs="Arial"/>
        </w:rPr>
        <w:t xml:space="preserve">, </w:t>
      </w:r>
      <w:r w:rsidRPr="00DE6AF2">
        <w:rPr>
          <w:rFonts w:cs="Arial"/>
        </w:rPr>
        <w:t>Ordnungsdienst</w:t>
      </w:r>
      <w:r w:rsidR="00F10E97">
        <w:rPr>
          <w:rFonts w:cs="Arial"/>
        </w:rPr>
        <w:t xml:space="preserve">, </w:t>
      </w:r>
      <w:r w:rsidRPr="00DE6AF2">
        <w:rPr>
          <w:rFonts w:cs="Arial"/>
        </w:rPr>
        <w:t>Bewaffneter Objektschutzdienst</w:t>
      </w:r>
      <w:r w:rsidR="00F10E97">
        <w:rPr>
          <w:rFonts w:cs="Arial"/>
        </w:rPr>
        <w:t xml:space="preserve">, </w:t>
      </w:r>
      <w:r w:rsidRPr="00DE6AF2">
        <w:rPr>
          <w:rFonts w:cs="Arial"/>
        </w:rPr>
        <w:t>Bewaffneter Persone</w:t>
      </w:r>
      <w:r w:rsidRPr="00DE6AF2">
        <w:rPr>
          <w:rFonts w:cs="Arial"/>
        </w:rPr>
        <w:t>n</w:t>
      </w:r>
      <w:r w:rsidRPr="00DE6AF2">
        <w:rPr>
          <w:rFonts w:cs="Arial"/>
        </w:rPr>
        <w:t>schutzdienst</w:t>
      </w:r>
      <w:r w:rsidR="00F10E97">
        <w:rPr>
          <w:rFonts w:cs="Arial"/>
        </w:rPr>
        <w:t>.</w:t>
      </w:r>
    </w:p>
    <w:p w:rsidR="00320BA9" w:rsidRDefault="00320BA9" w:rsidP="000F7587">
      <w:pPr>
        <w:rPr>
          <w:rFonts w:cs="Arial"/>
        </w:rPr>
      </w:pPr>
    </w:p>
    <w:p w:rsidR="009D290A" w:rsidRDefault="009D290A" w:rsidP="000F7587">
      <w:r>
        <w:t>Die Konkordatskommission wird eine Liste der Gegenstände</w:t>
      </w:r>
      <w:r w:rsidRPr="009D290A">
        <w:t xml:space="preserve"> </w:t>
      </w:r>
      <w:r>
        <w:t>erstellen, welche bei der al</w:t>
      </w:r>
      <w:r>
        <w:t>l</w:t>
      </w:r>
      <w:r>
        <w:t>gemeinen Ausrüstung verboten sind (Negativliste). Dieser Lösungsansatz ist gesetzgeb</w:t>
      </w:r>
      <w:r>
        <w:t>e</w:t>
      </w:r>
      <w:r>
        <w:t xml:space="preserve">risch sinnvoll, weil es eine Vielzahl möglicher </w:t>
      </w:r>
      <w:r w:rsidR="005440C8">
        <w:t>Ausrüstungsg</w:t>
      </w:r>
      <w:r>
        <w:t>egenständen gibt. Demgege</w:t>
      </w:r>
      <w:r>
        <w:t>n</w:t>
      </w:r>
      <w:r>
        <w:t xml:space="preserve">über werden bei den Waffen die erlaubten </w:t>
      </w:r>
      <w:r w:rsidR="00FA2640">
        <w:t>Typen genannt (Positivliste), weil die Anzahl T</w:t>
      </w:r>
      <w:r w:rsidR="00FA2640">
        <w:t>y</w:t>
      </w:r>
      <w:r w:rsidR="00FA2640">
        <w:t>pen überblic</w:t>
      </w:r>
      <w:r w:rsidR="00FA2640">
        <w:t>k</w:t>
      </w:r>
      <w:r w:rsidR="00FA2640">
        <w:t>bar ist.</w:t>
      </w:r>
    </w:p>
    <w:p w:rsidR="00E52CF1" w:rsidRDefault="00E52CF1" w:rsidP="000F7587"/>
    <w:p w:rsidR="00E52CF1" w:rsidRDefault="00E52CF1" w:rsidP="000F7587">
      <w:r>
        <w:t>D</w:t>
      </w:r>
      <w:r w:rsidRPr="00E52CF1">
        <w:t xml:space="preserve">ie Anerkennung von ausserhalb des Konkordatsgebiets erlangten Fähigkeiten, Diplomen, Bewilligungen, Dokumenten jeglicher Art und weiterer Erkenntnisse </w:t>
      </w:r>
      <w:r>
        <w:t>ist sowohl bezüglich Freizügigkeitsabkommen Schweiz/EU als auch bezüglich Schweizerisches Binnenmarktg</w:t>
      </w:r>
      <w:r>
        <w:t>e</w:t>
      </w:r>
      <w:r>
        <w:t>setz ein wichtige</w:t>
      </w:r>
      <w:r w:rsidR="00C739EC">
        <w:t>r</w:t>
      </w:r>
      <w:r>
        <w:t xml:space="preserve"> </w:t>
      </w:r>
      <w:r w:rsidR="00C739EC">
        <w:t>Regelungsgegenstand</w:t>
      </w:r>
      <w:r>
        <w:t>.</w:t>
      </w:r>
    </w:p>
    <w:p w:rsidR="009D290A" w:rsidRDefault="009D290A" w:rsidP="000F7587"/>
    <w:p w:rsidR="00320BA9" w:rsidRPr="00FF61B4" w:rsidRDefault="00320BA9" w:rsidP="00320BA9">
      <w:pPr>
        <w:spacing w:after="120"/>
        <w:rPr>
          <w:i/>
        </w:rPr>
      </w:pPr>
      <w:r w:rsidRPr="00FF61B4">
        <w:rPr>
          <w:i/>
        </w:rPr>
        <w:t>Abs</w:t>
      </w:r>
      <w:r>
        <w:rPr>
          <w:i/>
        </w:rPr>
        <w:t>atz 3</w:t>
      </w:r>
    </w:p>
    <w:p w:rsidR="007824B0" w:rsidRDefault="007824B0" w:rsidP="000F7587">
      <w:r>
        <w:t>Die Delegation von Aufgaben an Branchenorganisationen (Art. 18) zieht als logische Ko</w:t>
      </w:r>
      <w:r>
        <w:t>n</w:t>
      </w:r>
      <w:r>
        <w:t>sequenz ein Aufsichtsrecht nach sich.</w:t>
      </w:r>
    </w:p>
    <w:p w:rsidR="00D835AD" w:rsidRDefault="00D835AD" w:rsidP="00D835AD"/>
    <w:p w:rsidR="00D835AD" w:rsidRPr="00FF61B4" w:rsidRDefault="00D835AD" w:rsidP="00D835AD">
      <w:pPr>
        <w:spacing w:after="120"/>
        <w:rPr>
          <w:i/>
        </w:rPr>
      </w:pPr>
      <w:r w:rsidRPr="00FF61B4">
        <w:rPr>
          <w:i/>
        </w:rPr>
        <w:t>Abs</w:t>
      </w:r>
      <w:r>
        <w:rPr>
          <w:i/>
        </w:rPr>
        <w:t>atz</w:t>
      </w:r>
      <w:r w:rsidRPr="00FF61B4">
        <w:rPr>
          <w:i/>
        </w:rPr>
        <w:t xml:space="preserve"> </w:t>
      </w:r>
      <w:r>
        <w:rPr>
          <w:i/>
        </w:rPr>
        <w:t>4 und 5</w:t>
      </w:r>
    </w:p>
    <w:p w:rsidR="00D835AD" w:rsidRDefault="0091270A" w:rsidP="00D835AD">
      <w:r>
        <w:t xml:space="preserve">Es </w:t>
      </w:r>
      <w:r w:rsidR="00D835AD">
        <w:t xml:space="preserve">werden zwei </w:t>
      </w:r>
      <w:r w:rsidR="00B54B7A">
        <w:t xml:space="preserve">unterschiedliche </w:t>
      </w:r>
      <w:r w:rsidR="00D835AD">
        <w:t>Datenbanken geführt:</w:t>
      </w:r>
    </w:p>
    <w:p w:rsidR="00D835AD" w:rsidRPr="00B54B7A" w:rsidRDefault="00D835AD" w:rsidP="00D835AD">
      <w:pPr>
        <w:numPr>
          <w:ilvl w:val="0"/>
          <w:numId w:val="7"/>
        </w:numPr>
        <w:spacing w:before="120"/>
        <w:ind w:hanging="352"/>
      </w:pPr>
      <w:r>
        <w:rPr>
          <w:i/>
        </w:rPr>
        <w:t>Liste</w:t>
      </w:r>
      <w:r w:rsidRPr="00577C71">
        <w:rPr>
          <w:i/>
        </w:rPr>
        <w:t xml:space="preserve"> über </w:t>
      </w:r>
      <w:r w:rsidR="0091270A">
        <w:rPr>
          <w:i/>
        </w:rPr>
        <w:t>erteilte</w:t>
      </w:r>
      <w:r w:rsidRPr="00577C71">
        <w:rPr>
          <w:i/>
        </w:rPr>
        <w:t xml:space="preserve"> Bewilligungen (Abs. </w:t>
      </w:r>
      <w:r>
        <w:rPr>
          <w:i/>
        </w:rPr>
        <w:t>4</w:t>
      </w:r>
      <w:r w:rsidRPr="00577C71">
        <w:rPr>
          <w:i/>
        </w:rPr>
        <w:t>):</w:t>
      </w:r>
      <w:r w:rsidR="009A4378">
        <w:rPr>
          <w:i/>
        </w:rPr>
        <w:br/>
      </w:r>
      <w:r w:rsidR="009A4378" w:rsidRPr="00B54B7A">
        <w:t xml:space="preserve">Diese Liste kann </w:t>
      </w:r>
      <w:r w:rsidR="0091270A" w:rsidRPr="00B54B7A">
        <w:t xml:space="preserve">sowohl von gewissen Behörden als </w:t>
      </w:r>
      <w:r w:rsidR="009A4378" w:rsidRPr="00B54B7A">
        <w:t>auch von gewissen Privatpe</w:t>
      </w:r>
      <w:r w:rsidR="009A4378" w:rsidRPr="00B54B7A">
        <w:t>r</w:t>
      </w:r>
      <w:r w:rsidR="009A4378" w:rsidRPr="00B54B7A">
        <w:t>sonen eingesehen werden.</w:t>
      </w:r>
    </w:p>
    <w:p w:rsidR="00D835AD" w:rsidRPr="00B54B7A" w:rsidRDefault="00D835AD" w:rsidP="00D835AD">
      <w:pPr>
        <w:numPr>
          <w:ilvl w:val="0"/>
          <w:numId w:val="7"/>
        </w:numPr>
        <w:spacing w:before="120"/>
        <w:ind w:hanging="352"/>
      </w:pPr>
      <w:r>
        <w:rPr>
          <w:i/>
        </w:rPr>
        <w:t xml:space="preserve">Liste über </w:t>
      </w:r>
      <w:r w:rsidRPr="00C20152">
        <w:rPr>
          <w:i/>
        </w:rPr>
        <w:t>Personen</w:t>
      </w:r>
      <w:r>
        <w:rPr>
          <w:i/>
        </w:rPr>
        <w:t xml:space="preserve"> mit abgelehnter Bewilligung </w:t>
      </w:r>
      <w:r w:rsidRPr="00C20152">
        <w:rPr>
          <w:i/>
        </w:rPr>
        <w:t>oder gegen die eine Sanktion g</w:t>
      </w:r>
      <w:r w:rsidRPr="00C20152">
        <w:rPr>
          <w:i/>
        </w:rPr>
        <w:t>e</w:t>
      </w:r>
      <w:r w:rsidRPr="00C20152">
        <w:rPr>
          <w:i/>
        </w:rPr>
        <w:t>mäss Art. 20 ausgesprochen wurde</w:t>
      </w:r>
      <w:r>
        <w:rPr>
          <w:i/>
        </w:rPr>
        <w:t xml:space="preserve"> (Abs. 5):</w:t>
      </w:r>
      <w:r w:rsidR="009A4378">
        <w:rPr>
          <w:i/>
        </w:rPr>
        <w:br/>
      </w:r>
      <w:r w:rsidR="009A4378" w:rsidRPr="00B54B7A">
        <w:t xml:space="preserve">Diese Liste kann ausschliesslich von </w:t>
      </w:r>
      <w:r w:rsidR="0091270A" w:rsidRPr="00B54B7A">
        <w:t>den Bewilligungsbehörden eingesehen we</w:t>
      </w:r>
      <w:r w:rsidR="0091270A" w:rsidRPr="00B54B7A">
        <w:t>r</w:t>
      </w:r>
      <w:r w:rsidR="0091270A" w:rsidRPr="00B54B7A">
        <w:t>den.</w:t>
      </w:r>
    </w:p>
    <w:p w:rsidR="00D835AD" w:rsidRDefault="00D835AD" w:rsidP="00D835AD"/>
    <w:p w:rsidR="00B54B7A" w:rsidRDefault="009A4378" w:rsidP="00D835AD">
      <w:r>
        <w:t xml:space="preserve">Die Liste gemäss Abs. 4 enthält weniger </w:t>
      </w:r>
      <w:r w:rsidR="00B65235">
        <w:t>sensible</w:t>
      </w:r>
      <w:r>
        <w:t xml:space="preserve"> Daten als die Liste gemäss Abs. 5. </w:t>
      </w:r>
      <w:r w:rsidR="0091270A">
        <w:t>Die beiden Listen müssen von der gleichen Stelle geführt werden, weil es Wechselwirkungen zw</w:t>
      </w:r>
      <w:r w:rsidR="0091270A">
        <w:t>i</w:t>
      </w:r>
      <w:r w:rsidR="0091270A">
        <w:t xml:space="preserve">schen den Listen gibt: </w:t>
      </w:r>
      <w:r w:rsidR="00B54B7A">
        <w:t>So sind die in der Liste gemäss Abs. 5 enthaltenen Informationen betre</w:t>
      </w:r>
      <w:r w:rsidR="00B54B7A">
        <w:t>f</w:t>
      </w:r>
      <w:r w:rsidR="00B54B7A">
        <w:t xml:space="preserve">fend </w:t>
      </w:r>
      <w:r w:rsidR="00B54B7A" w:rsidRPr="00B54B7A">
        <w:rPr>
          <w:i/>
        </w:rPr>
        <w:t>Sistierung</w:t>
      </w:r>
      <w:r w:rsidR="00B54B7A">
        <w:t xml:space="preserve"> oder </w:t>
      </w:r>
      <w:r w:rsidR="00B54B7A" w:rsidRPr="00B54B7A">
        <w:rPr>
          <w:i/>
        </w:rPr>
        <w:t>Entzug</w:t>
      </w:r>
      <w:r w:rsidR="00B54B7A">
        <w:t xml:space="preserve"> von Bewilligungen auch für die Liste gemäss Abs. 4 von </w:t>
      </w:r>
      <w:r w:rsidR="00B54B7A">
        <w:lastRenderedPageBreak/>
        <w:t>Rel</w:t>
      </w:r>
      <w:r w:rsidR="00B54B7A">
        <w:t>e</w:t>
      </w:r>
      <w:r w:rsidR="00B54B7A">
        <w:t xml:space="preserve">vanz. Bei einer Sistierung wird ein entsprechender Vermerk in die Liste gemäss </w:t>
      </w:r>
      <w:r w:rsidR="00B40A75">
        <w:t>Abs</w:t>
      </w:r>
      <w:r w:rsidR="00B54B7A">
        <w:t xml:space="preserve">. 4 aufgenommen; ein Bewilligungsentzug wird </w:t>
      </w:r>
      <w:r w:rsidR="00D55BC8">
        <w:t xml:space="preserve">in der Liste gemäss </w:t>
      </w:r>
      <w:r w:rsidR="00B40A75">
        <w:t>Abs</w:t>
      </w:r>
      <w:r w:rsidR="00D55BC8">
        <w:t>. 4 gleich beha</w:t>
      </w:r>
      <w:r w:rsidR="00D55BC8">
        <w:t>n</w:t>
      </w:r>
      <w:r w:rsidR="00D55BC8">
        <w:t>delt wie der Ablauf einer Bewilligung.</w:t>
      </w:r>
    </w:p>
    <w:p w:rsidR="00B54B7A" w:rsidRDefault="00B54B7A" w:rsidP="00D835AD"/>
    <w:p w:rsidR="009A4378" w:rsidRDefault="00D55BC8" w:rsidP="00D835AD">
      <w:r>
        <w:t xml:space="preserve">Beide Listen werden von der Konkordatskommission geführt. </w:t>
      </w:r>
      <w:r w:rsidR="009A4378">
        <w:t xml:space="preserve">Das Führen </w:t>
      </w:r>
      <w:r>
        <w:t xml:space="preserve">der Listen kann nicht </w:t>
      </w:r>
      <w:r w:rsidR="009A4378">
        <w:t>an eine Branchenorganisa</w:t>
      </w:r>
      <w:r>
        <w:t xml:space="preserve">tion übertragen werden, </w:t>
      </w:r>
      <w:r w:rsidR="00B40A75">
        <w:t>weil die Liste gemäss Abs. 5 se</w:t>
      </w:r>
      <w:r w:rsidR="00B40A75">
        <w:t>n</w:t>
      </w:r>
      <w:r w:rsidR="00B40A75">
        <w:t>sible Daten enthält.</w:t>
      </w:r>
    </w:p>
    <w:p w:rsidR="009A4378" w:rsidRDefault="009A4378" w:rsidP="00D835AD"/>
    <w:p w:rsidR="00D835AD" w:rsidRDefault="00D835AD" w:rsidP="00D835AD">
      <w:r>
        <w:t>Die Löschungsvorschriften der beiden Datenbanken sind kongruent. Die dreijährigen Bewi</w:t>
      </w:r>
      <w:r>
        <w:t>l</w:t>
      </w:r>
      <w:r>
        <w:t xml:space="preserve">ligungen werden ein Jahr nach Ablauf einer Bewilligung aus </w:t>
      </w:r>
      <w:r w:rsidR="00FC2AFE">
        <w:t xml:space="preserve">der Liste </w:t>
      </w:r>
      <w:r>
        <w:t>ge</w:t>
      </w:r>
      <w:r w:rsidR="00B40A75">
        <w:t>löscht (Abs. </w:t>
      </w:r>
      <w:r>
        <w:t>4), a</w:t>
      </w:r>
      <w:r>
        <w:t>l</w:t>
      </w:r>
      <w:r>
        <w:t>so nach insgesamt vier Jahren. Die Eintragungen in die Liste gemäss Abs. 5 werden ebe</w:t>
      </w:r>
      <w:r>
        <w:t>n</w:t>
      </w:r>
      <w:r>
        <w:t>falls nach vier Jahren gelöscht.</w:t>
      </w:r>
    </w:p>
    <w:p w:rsidR="00D835AD" w:rsidRDefault="00D835AD" w:rsidP="00D835AD"/>
    <w:p w:rsidR="0009540D" w:rsidRPr="00FF61B4" w:rsidRDefault="0009540D" w:rsidP="0009540D">
      <w:pPr>
        <w:spacing w:after="120"/>
        <w:rPr>
          <w:i/>
        </w:rPr>
      </w:pPr>
      <w:r w:rsidRPr="00FF61B4">
        <w:rPr>
          <w:i/>
        </w:rPr>
        <w:t>Abs</w:t>
      </w:r>
      <w:r>
        <w:rPr>
          <w:i/>
        </w:rPr>
        <w:t>atz</w:t>
      </w:r>
      <w:r w:rsidRPr="00FF61B4">
        <w:rPr>
          <w:i/>
        </w:rPr>
        <w:t xml:space="preserve"> </w:t>
      </w:r>
      <w:r>
        <w:rPr>
          <w:i/>
        </w:rPr>
        <w:t>4</w:t>
      </w:r>
    </w:p>
    <w:p w:rsidR="0009540D" w:rsidRDefault="00D835AD" w:rsidP="0009540D">
      <w:r>
        <w:t xml:space="preserve">Die kantonalen Bewilligungsbehörden melden </w:t>
      </w:r>
      <w:r w:rsidR="009F0B0E">
        <w:t xml:space="preserve">der Konkordatskommission </w:t>
      </w:r>
      <w:r>
        <w:t>ihre Bewill</w:t>
      </w:r>
      <w:r>
        <w:t>i</w:t>
      </w:r>
      <w:r>
        <w:t xml:space="preserve">gungsentscheide (Art. 7 Abs. 4). Diese führt eine Liste über erteilte Bewilligungen. </w:t>
      </w:r>
      <w:r w:rsidR="0009540D">
        <w:t>Bei Zwe</w:t>
      </w:r>
      <w:r w:rsidR="0009540D">
        <w:t>i</w:t>
      </w:r>
      <w:r w:rsidR="0009540D">
        <w:t>fel an der Gültigkeit eines Ausweises kann bei der Konkordatskommission nachgefragt werden.</w:t>
      </w:r>
      <w:r>
        <w:t xml:space="preserve"> Auskunft erhalten gemäss dem Verweis auf Art. 13 Abs. 1 sowohl </w:t>
      </w:r>
      <w:r w:rsidR="00B40A75">
        <w:t xml:space="preserve">gewisse </w:t>
      </w:r>
      <w:r>
        <w:t>Behö</w:t>
      </w:r>
      <w:r>
        <w:t>r</w:t>
      </w:r>
      <w:r>
        <w:t xml:space="preserve">den als auch </w:t>
      </w:r>
      <w:r w:rsidR="00B40A75">
        <w:t xml:space="preserve">gewisse </w:t>
      </w:r>
      <w:r w:rsidR="004922C1">
        <w:t>Privatpers</w:t>
      </w:r>
      <w:r w:rsidR="004922C1">
        <w:t>o</w:t>
      </w:r>
      <w:r w:rsidR="004922C1">
        <w:t>nen</w:t>
      </w:r>
      <w:r w:rsidR="009A4378">
        <w:t>.</w:t>
      </w:r>
    </w:p>
    <w:p w:rsidR="0009540D" w:rsidRDefault="0009540D" w:rsidP="0009540D"/>
    <w:p w:rsidR="0009540D" w:rsidRDefault="0009540D" w:rsidP="0009540D">
      <w:r>
        <w:t>Der Datenschutz wird durch folgende Massnahmen gewährleistet:</w:t>
      </w:r>
    </w:p>
    <w:p w:rsidR="0009540D" w:rsidRDefault="000D0421" w:rsidP="0009540D">
      <w:pPr>
        <w:numPr>
          <w:ilvl w:val="0"/>
          <w:numId w:val="10"/>
        </w:numPr>
        <w:spacing w:before="120"/>
        <w:ind w:hanging="352"/>
      </w:pPr>
      <w:r>
        <w:t xml:space="preserve">Die Liste </w:t>
      </w:r>
      <w:r w:rsidR="0009540D">
        <w:t xml:space="preserve">beschränkt sich auf die für </w:t>
      </w:r>
      <w:r>
        <w:t xml:space="preserve">ihren </w:t>
      </w:r>
      <w:r w:rsidR="0009540D">
        <w:t>Zweck notwendigen Daten: Personalien der Bewilligungsinhaberin oder des -inhabers und Laufzeit der Bewilligung.</w:t>
      </w:r>
    </w:p>
    <w:p w:rsidR="0009540D" w:rsidRDefault="0009540D" w:rsidP="0009540D">
      <w:pPr>
        <w:numPr>
          <w:ilvl w:val="0"/>
          <w:numId w:val="10"/>
        </w:numPr>
        <w:spacing w:before="120"/>
        <w:ind w:hanging="352"/>
      </w:pPr>
      <w:r>
        <w:t xml:space="preserve">Die Daten dürfen nur für die </w:t>
      </w:r>
      <w:r w:rsidRPr="000B2387">
        <w:t>Überprüfung der Echtheit und der Richtigkeit von sich im Umlauf befindenden Legitimationsausweisen</w:t>
      </w:r>
      <w:r>
        <w:t xml:space="preserve"> verwendet werden.</w:t>
      </w:r>
    </w:p>
    <w:p w:rsidR="0009540D" w:rsidRDefault="0009540D" w:rsidP="0009540D">
      <w:pPr>
        <w:numPr>
          <w:ilvl w:val="0"/>
          <w:numId w:val="10"/>
        </w:numPr>
        <w:spacing w:before="120"/>
        <w:ind w:hanging="352"/>
      </w:pPr>
      <w:r w:rsidRPr="000B2387">
        <w:t xml:space="preserve">Auskunft über </w:t>
      </w:r>
      <w:r w:rsidR="000D0421">
        <w:t>D</w:t>
      </w:r>
      <w:r w:rsidRPr="000B2387">
        <w:t xml:space="preserve">aten </w:t>
      </w:r>
      <w:r>
        <w:t xml:space="preserve">wird nur auf </w:t>
      </w:r>
      <w:r w:rsidRPr="000B2387">
        <w:t>Anfrage</w:t>
      </w:r>
      <w:r>
        <w:t xml:space="preserve"> und nur im Einzelfall erteilt.</w:t>
      </w:r>
    </w:p>
    <w:p w:rsidR="0009540D" w:rsidRDefault="0009540D" w:rsidP="0009540D">
      <w:pPr>
        <w:numPr>
          <w:ilvl w:val="0"/>
          <w:numId w:val="10"/>
        </w:numPr>
        <w:spacing w:before="120"/>
        <w:ind w:hanging="352"/>
      </w:pPr>
      <w:r>
        <w:t xml:space="preserve">Wer Auskunft über </w:t>
      </w:r>
      <w:r w:rsidR="000D0421">
        <w:t>D</w:t>
      </w:r>
      <w:r>
        <w:t>aten will, muss eine direkte Betroffenheit aufwe</w:t>
      </w:r>
      <w:r>
        <w:t>i</w:t>
      </w:r>
      <w:r>
        <w:t>sen.</w:t>
      </w:r>
    </w:p>
    <w:p w:rsidR="0009540D" w:rsidRDefault="0009540D" w:rsidP="0009540D">
      <w:pPr>
        <w:numPr>
          <w:ilvl w:val="0"/>
          <w:numId w:val="10"/>
        </w:numPr>
        <w:spacing w:before="120"/>
        <w:ind w:hanging="352"/>
      </w:pPr>
      <w:r>
        <w:t>Die Daten werden ein Jahr nach Ablauf einer Bewilligung gelöscht.</w:t>
      </w:r>
    </w:p>
    <w:p w:rsidR="007824B0" w:rsidRDefault="007824B0" w:rsidP="000F7587"/>
    <w:p w:rsidR="00320BA9" w:rsidRPr="00FF61B4" w:rsidRDefault="00320BA9" w:rsidP="00320BA9">
      <w:pPr>
        <w:spacing w:after="120"/>
        <w:rPr>
          <w:i/>
        </w:rPr>
      </w:pPr>
      <w:r w:rsidRPr="00FF61B4">
        <w:rPr>
          <w:i/>
        </w:rPr>
        <w:t>Abs</w:t>
      </w:r>
      <w:r w:rsidR="0009540D">
        <w:rPr>
          <w:i/>
        </w:rPr>
        <w:t>atz 5</w:t>
      </w:r>
    </w:p>
    <w:p w:rsidR="00577C71" w:rsidRDefault="00B65235" w:rsidP="00B40A75">
      <w:pPr>
        <w:spacing w:before="120"/>
      </w:pPr>
      <w:r>
        <w:t>Die kantonalen Bewilligungsbehörden melden der Konkordatskommission auch die negat</w:t>
      </w:r>
      <w:r>
        <w:t>i</w:t>
      </w:r>
      <w:r>
        <w:t xml:space="preserve">ven, d.h. abschlägigen Bewilligungsentscheide (Art. 7 Abs. 4). </w:t>
      </w:r>
      <w:r w:rsidR="00B40A75" w:rsidRPr="00B40A75">
        <w:t>Ordnet die Bewilligungsb</w:t>
      </w:r>
      <w:r w:rsidR="00B40A75" w:rsidRPr="00B40A75">
        <w:t>e</w:t>
      </w:r>
      <w:r w:rsidR="00B40A75" w:rsidRPr="00B40A75">
        <w:t xml:space="preserve">hörde eine Sanktion nach Artikel </w:t>
      </w:r>
      <w:r w:rsidR="00B40A75">
        <w:t xml:space="preserve">20 </w:t>
      </w:r>
      <w:r w:rsidR="00B40A75" w:rsidRPr="00B40A75">
        <w:t>an, teilt sie dies der Konkordatskommi</w:t>
      </w:r>
      <w:r w:rsidR="00B40A75" w:rsidRPr="00B40A75">
        <w:t>s</w:t>
      </w:r>
      <w:r w:rsidR="00B40A75" w:rsidRPr="00B40A75">
        <w:t>sion mit</w:t>
      </w:r>
      <w:r w:rsidR="00B40A75">
        <w:t xml:space="preserve"> (Art. 20 Abs. 3</w:t>
      </w:r>
      <w:r w:rsidR="004922C1">
        <w:t>)</w:t>
      </w:r>
      <w:r w:rsidR="00B40A75" w:rsidRPr="00B40A75">
        <w:t>.</w:t>
      </w:r>
      <w:r w:rsidR="00B40A75">
        <w:t xml:space="preserve"> </w:t>
      </w:r>
      <w:r w:rsidR="004922C1">
        <w:t xml:space="preserve">Diese führt eine </w:t>
      </w:r>
      <w:r w:rsidR="004922C1" w:rsidRPr="004922C1">
        <w:t>Li</w:t>
      </w:r>
      <w:r w:rsidR="004922C1" w:rsidRPr="004922C1">
        <w:t>s</w:t>
      </w:r>
      <w:r w:rsidR="004922C1" w:rsidRPr="004922C1">
        <w:t>te über Personen mit abgelehnter Bewilligung oder gegen die eine Sanktion gemäss Art. 20 ausgesprochen wurde</w:t>
      </w:r>
      <w:r w:rsidR="004922C1">
        <w:t xml:space="preserve">. </w:t>
      </w:r>
      <w:r w:rsidR="00C20152">
        <w:t xml:space="preserve">Die Daten dienen </w:t>
      </w:r>
      <w:r w:rsidR="008216BA">
        <w:t xml:space="preserve">der Durchsetzung negativer Entscheide und ausgesprochener Sanktionen. </w:t>
      </w:r>
      <w:r w:rsidR="004922C1">
        <w:t>Zudem kann die Liste in Zusa</w:t>
      </w:r>
      <w:r w:rsidR="004922C1">
        <w:t>m</w:t>
      </w:r>
      <w:r w:rsidR="004922C1">
        <w:t>menhang mit Art. 5 Abs. 1 Bst. e ko</w:t>
      </w:r>
      <w:r w:rsidR="004922C1">
        <w:t>n</w:t>
      </w:r>
      <w:r w:rsidR="004922C1">
        <w:t>sultiert werden.</w:t>
      </w:r>
      <w:r w:rsidR="00B23048">
        <w:t xml:space="preserve"> </w:t>
      </w:r>
    </w:p>
    <w:p w:rsidR="000D0421" w:rsidRDefault="000D0421" w:rsidP="000D0421"/>
    <w:p w:rsidR="000D0421" w:rsidRDefault="000D0421" w:rsidP="000D0421">
      <w:r>
        <w:t>Der Datenschutz wird durch folgende Massnahmen gewährleistet:</w:t>
      </w:r>
    </w:p>
    <w:p w:rsidR="000D0421" w:rsidRDefault="000D0421" w:rsidP="000D0421">
      <w:pPr>
        <w:numPr>
          <w:ilvl w:val="0"/>
          <w:numId w:val="10"/>
        </w:numPr>
        <w:spacing w:before="120"/>
        <w:ind w:hanging="352"/>
      </w:pPr>
      <w:r>
        <w:t xml:space="preserve">Die Liste beschränkt sich auf die für ihren Zweck notwendigen Daten: </w:t>
      </w:r>
      <w:r w:rsidRPr="000D0421">
        <w:t>Personalien der betroffenen Person sowie Grund und Art der getroffenen Massnahme</w:t>
      </w:r>
      <w:r>
        <w:t>.</w:t>
      </w:r>
    </w:p>
    <w:p w:rsidR="000D0421" w:rsidRDefault="000D0421" w:rsidP="000D0421">
      <w:pPr>
        <w:numPr>
          <w:ilvl w:val="0"/>
          <w:numId w:val="10"/>
        </w:numPr>
        <w:spacing w:before="120"/>
        <w:ind w:hanging="352"/>
      </w:pPr>
      <w:r>
        <w:t>Die Daten dürfen nur für die Durchsetzung negativer Entscheide und ausgesproch</w:t>
      </w:r>
      <w:r>
        <w:t>e</w:t>
      </w:r>
      <w:r>
        <w:t>ner Sanktionen sowie in Zusammenhang mit Art. 5 Abs. 1 Bst. e verwendet werden.</w:t>
      </w:r>
    </w:p>
    <w:p w:rsidR="000D0421" w:rsidRDefault="000D0421" w:rsidP="000D0421">
      <w:pPr>
        <w:numPr>
          <w:ilvl w:val="0"/>
          <w:numId w:val="10"/>
        </w:numPr>
        <w:spacing w:before="120"/>
        <w:ind w:hanging="352"/>
      </w:pPr>
      <w:r w:rsidRPr="000B2387">
        <w:t xml:space="preserve">Auskunft über </w:t>
      </w:r>
      <w:r>
        <w:t>Da</w:t>
      </w:r>
      <w:r w:rsidRPr="000B2387">
        <w:t xml:space="preserve">ten </w:t>
      </w:r>
      <w:r>
        <w:t>wird nur gegenüber den Bewilligungsbehörden erteilt.</w:t>
      </w:r>
    </w:p>
    <w:p w:rsidR="000D0421" w:rsidRDefault="000D0421" w:rsidP="000D0421">
      <w:pPr>
        <w:numPr>
          <w:ilvl w:val="0"/>
          <w:numId w:val="10"/>
        </w:numPr>
        <w:spacing w:before="120"/>
        <w:ind w:hanging="352"/>
      </w:pPr>
      <w:r>
        <w:t xml:space="preserve">Die Daten werden </w:t>
      </w:r>
      <w:r w:rsidR="00FC2AFE">
        <w:t xml:space="preserve">vier </w:t>
      </w:r>
      <w:r>
        <w:t>Jahr</w:t>
      </w:r>
      <w:r w:rsidR="00FC2AFE">
        <w:t>e</w:t>
      </w:r>
      <w:r>
        <w:t xml:space="preserve"> nach </w:t>
      </w:r>
      <w:r w:rsidR="00FC2AFE">
        <w:t xml:space="preserve">ihrer Eintragung </w:t>
      </w:r>
      <w:r>
        <w:t>g</w:t>
      </w:r>
      <w:r>
        <w:t>e</w:t>
      </w:r>
      <w:r>
        <w:t>löscht.</w:t>
      </w:r>
    </w:p>
    <w:p w:rsidR="00577C71" w:rsidRDefault="00577C71" w:rsidP="000F7587"/>
    <w:p w:rsidR="00320BA9" w:rsidRPr="00FF61B4" w:rsidRDefault="00320BA9" w:rsidP="00320BA9">
      <w:pPr>
        <w:spacing w:after="120"/>
        <w:rPr>
          <w:i/>
        </w:rPr>
      </w:pPr>
      <w:r w:rsidRPr="00FF61B4">
        <w:rPr>
          <w:i/>
        </w:rPr>
        <w:t>Abs</w:t>
      </w:r>
      <w:r w:rsidR="0009540D">
        <w:rPr>
          <w:i/>
        </w:rPr>
        <w:t>atz 6</w:t>
      </w:r>
    </w:p>
    <w:p w:rsidR="00320BA9" w:rsidRDefault="00F86D0F" w:rsidP="000F7587">
      <w:r>
        <w:t>Bei normalem Geschäftsgang ist eine jährliche Berichterstattung angemessen.</w:t>
      </w:r>
    </w:p>
    <w:p w:rsidR="00320BA9" w:rsidRDefault="00320BA9" w:rsidP="000F7587"/>
    <w:p w:rsidR="000F7587" w:rsidRDefault="000F7587" w:rsidP="00BE4728"/>
    <w:p w:rsidR="000A677A" w:rsidRDefault="000A677A" w:rsidP="000A677A">
      <w:pPr>
        <w:spacing w:after="120"/>
        <w:rPr>
          <w:b/>
          <w:i/>
        </w:rPr>
      </w:pPr>
      <w:r w:rsidRPr="00D429E9">
        <w:rPr>
          <w:b/>
          <w:i/>
        </w:rPr>
        <w:lastRenderedPageBreak/>
        <w:t xml:space="preserve">Zu Artikel </w:t>
      </w:r>
      <w:r w:rsidR="00DF5EF1">
        <w:rPr>
          <w:b/>
          <w:i/>
        </w:rPr>
        <w:t>18</w:t>
      </w:r>
    </w:p>
    <w:p w:rsidR="00AD5C8B" w:rsidRDefault="00B205D5" w:rsidP="00BE4728">
      <w:r>
        <w:t>Bereits bei vorangehenden Artikeln wurde die Rolle der Branchenorganisationen erläutert (insbesondere bei den Ausführungen zu Art. 7 und Art. 8).</w:t>
      </w:r>
    </w:p>
    <w:p w:rsidR="00AD5C8B" w:rsidRDefault="00AD5C8B" w:rsidP="00BE4728"/>
    <w:p w:rsidR="000A677A" w:rsidRDefault="00B205D5" w:rsidP="00BE4728">
      <w:r>
        <w:t xml:space="preserve">Den Branchenorganisationen können </w:t>
      </w:r>
      <w:r w:rsidR="00AD5C8B">
        <w:t xml:space="preserve">im Vorfeld einer Bewilligung </w:t>
      </w:r>
      <w:r>
        <w:t>folgende Aufgaben übe</w:t>
      </w:r>
      <w:r>
        <w:t>r</w:t>
      </w:r>
      <w:r>
        <w:t>tragen werden:</w:t>
      </w:r>
    </w:p>
    <w:p w:rsidR="00B205D5" w:rsidRDefault="00B205D5" w:rsidP="00B205D5">
      <w:pPr>
        <w:numPr>
          <w:ilvl w:val="0"/>
          <w:numId w:val="8"/>
        </w:numPr>
        <w:spacing w:before="120"/>
        <w:ind w:hanging="352"/>
      </w:pPr>
      <w:r>
        <w:t>Theoretische Grundausbildung inklusive Abnahme der Prüfung.</w:t>
      </w:r>
    </w:p>
    <w:p w:rsidR="00B205D5" w:rsidRDefault="00B205D5" w:rsidP="00B205D5">
      <w:pPr>
        <w:numPr>
          <w:ilvl w:val="0"/>
          <w:numId w:val="8"/>
        </w:numPr>
        <w:spacing w:before="120"/>
        <w:ind w:hanging="352"/>
      </w:pPr>
      <w:r>
        <w:t xml:space="preserve">Zusammentragen der </w:t>
      </w:r>
      <w:r w:rsidRPr="00B205D5">
        <w:t xml:space="preserve">erforderlichen Unterlagen </w:t>
      </w:r>
      <w:r>
        <w:t>für</w:t>
      </w:r>
      <w:r w:rsidRPr="00B205D5">
        <w:t xml:space="preserve"> e</w:t>
      </w:r>
      <w:r>
        <w:t>in</w:t>
      </w:r>
      <w:r w:rsidRPr="00B205D5">
        <w:t xml:space="preserve"> Bewilligungsgesuc</w:t>
      </w:r>
      <w:r>
        <w:t>h inklusive Überprüfung der Vollständigkeit der Unterlagen.</w:t>
      </w:r>
    </w:p>
    <w:p w:rsidR="00B205D5" w:rsidRDefault="00B205D5" w:rsidP="00B205D5">
      <w:pPr>
        <w:numPr>
          <w:ilvl w:val="0"/>
          <w:numId w:val="8"/>
        </w:numPr>
        <w:spacing w:before="120"/>
        <w:ind w:hanging="352"/>
      </w:pPr>
      <w:r>
        <w:t xml:space="preserve">Inkasso der Bewilligungsgebühr: </w:t>
      </w:r>
      <w:r w:rsidR="00D41F4C">
        <w:t>G</w:t>
      </w:r>
      <w:r w:rsidR="00D41F4C" w:rsidRPr="00D41F4C">
        <w:t xml:space="preserve">rundsätzlich erheben die Kantone Gebühren für </w:t>
      </w:r>
      <w:r w:rsidR="00D41F4C">
        <w:t xml:space="preserve">das </w:t>
      </w:r>
      <w:r w:rsidR="00D41F4C" w:rsidRPr="00D41F4C">
        <w:t>ganze Bewilligungs</w:t>
      </w:r>
      <w:r w:rsidR="00D41F4C">
        <w:t>verfahren</w:t>
      </w:r>
      <w:r w:rsidR="00D41F4C" w:rsidRPr="00D41F4C">
        <w:t xml:space="preserve"> (Art. 7 Abs. 3)</w:t>
      </w:r>
      <w:r w:rsidR="00D41F4C">
        <w:t xml:space="preserve">. Das Inkasso kann jedoch </w:t>
      </w:r>
      <w:r w:rsidR="00763436">
        <w:t>zusa</w:t>
      </w:r>
      <w:r w:rsidR="00763436">
        <w:t>m</w:t>
      </w:r>
      <w:r w:rsidR="00763436">
        <w:t xml:space="preserve">men mit anderen Aufgaben </w:t>
      </w:r>
      <w:r w:rsidR="00D41F4C">
        <w:t>an Branchenorganisationen</w:t>
      </w:r>
      <w:r w:rsidR="00763436">
        <w:t xml:space="preserve"> delegiert werden. In diesem Fall verlangen d</w:t>
      </w:r>
      <w:r>
        <w:t xml:space="preserve">ie Branchenorganisationen </w:t>
      </w:r>
      <w:r w:rsidR="00AD5C8B">
        <w:t>von den gesuchstellenden Personen e</w:t>
      </w:r>
      <w:r w:rsidR="00AD5C8B">
        <w:t>i</w:t>
      </w:r>
      <w:r w:rsidR="00AD5C8B">
        <w:t xml:space="preserve">nen Betrag, welcher sowohl </w:t>
      </w:r>
      <w:r w:rsidR="00D41F4C">
        <w:t xml:space="preserve">den Aufwand der kantonalen Bewilligungsbehörde </w:t>
      </w:r>
      <w:r w:rsidR="00AD5C8B">
        <w:t xml:space="preserve">als auch </w:t>
      </w:r>
      <w:r w:rsidR="00D41F4C">
        <w:t>den eigenen administrativen Aufwand (theoretische Grundausbildung und Z</w:t>
      </w:r>
      <w:r w:rsidR="00D41F4C">
        <w:t>u</w:t>
      </w:r>
      <w:r w:rsidR="00D41F4C">
        <w:t xml:space="preserve">sammentragen der erforderlichen Unterlagen) </w:t>
      </w:r>
      <w:r w:rsidR="00AD5C8B">
        <w:t xml:space="preserve">deckt. Die Branchenorganisationen überweisen davon den Betrag der </w:t>
      </w:r>
      <w:r w:rsidR="00763436">
        <w:t xml:space="preserve">kantonalen </w:t>
      </w:r>
      <w:r w:rsidR="00AD5C8B">
        <w:t>Gebühr an die zuständige Bewill</w:t>
      </w:r>
      <w:r w:rsidR="00AD5C8B">
        <w:t>i</w:t>
      </w:r>
      <w:r w:rsidR="00AD5C8B">
        <w:t>gungsbehörde.</w:t>
      </w:r>
    </w:p>
    <w:p w:rsidR="00111714" w:rsidRDefault="00111714" w:rsidP="00BE4728"/>
    <w:p w:rsidR="00111714" w:rsidRDefault="00AD5C8B" w:rsidP="00BE4728">
      <w:r>
        <w:t>Den Branchenorganisationen kann nach erfolgter Bewilligung folgende Aufgabe übertr</w:t>
      </w:r>
      <w:r>
        <w:t>a</w:t>
      </w:r>
      <w:r>
        <w:t>gen werden:</w:t>
      </w:r>
    </w:p>
    <w:p w:rsidR="00763436" w:rsidRDefault="007C7389" w:rsidP="00FC2AFE">
      <w:pPr>
        <w:numPr>
          <w:ilvl w:val="0"/>
          <w:numId w:val="9"/>
        </w:numPr>
        <w:spacing w:before="120"/>
        <w:ind w:hanging="352"/>
      </w:pPr>
      <w:r>
        <w:t>Herstellung des Legitimationsausweises inklusive Versenden an den Bewilligung</w:t>
      </w:r>
      <w:r>
        <w:t>s</w:t>
      </w:r>
      <w:r>
        <w:t>inhaber.</w:t>
      </w:r>
    </w:p>
    <w:p w:rsidR="00111714" w:rsidRDefault="00111714" w:rsidP="00BE4728"/>
    <w:p w:rsidR="000D6577" w:rsidRDefault="000D6577" w:rsidP="000D6577">
      <w:r>
        <w:t>Mit der Auslagerung des Vorverfahrens und der Herstellung der Legitimationsausweise werden die Bewilligungsbehörden</w:t>
      </w:r>
      <w:r w:rsidRPr="00EA34B5">
        <w:t xml:space="preserve"> </w:t>
      </w:r>
      <w:r>
        <w:t>administrativ stark entlastet. Gleichzeitig behalten die Bewilligungsbehörden die volle Entschei</w:t>
      </w:r>
      <w:r>
        <w:t>d</w:t>
      </w:r>
      <w:r>
        <w:t>kompetenz.</w:t>
      </w:r>
    </w:p>
    <w:p w:rsidR="000D6577" w:rsidRDefault="000D6577" w:rsidP="00BE4728"/>
    <w:p w:rsidR="00111714" w:rsidRDefault="00111714" w:rsidP="00BE4728"/>
    <w:p w:rsidR="000A677A" w:rsidRDefault="000A677A" w:rsidP="000A677A">
      <w:pPr>
        <w:spacing w:after="120"/>
        <w:rPr>
          <w:b/>
          <w:i/>
        </w:rPr>
      </w:pPr>
      <w:r w:rsidRPr="00D429E9">
        <w:rPr>
          <w:b/>
          <w:i/>
        </w:rPr>
        <w:t xml:space="preserve">Zu Artikel </w:t>
      </w:r>
      <w:r w:rsidR="00DF5EF1">
        <w:rPr>
          <w:b/>
          <w:i/>
        </w:rPr>
        <w:t>19</w:t>
      </w:r>
    </w:p>
    <w:p w:rsidR="000F607F" w:rsidRDefault="000F607F" w:rsidP="000F607F">
      <w:r w:rsidRPr="000F607F">
        <w:t>Das Konkordat umschreibt hier die strafrechtlichen Konsequenzen, die eine Widerhandlung gegen gewisse Konkordatsbestimmungen haben kann</w:t>
      </w:r>
      <w:r w:rsidR="005440C8">
        <w:t>. F</w:t>
      </w:r>
      <w:r w:rsidRPr="000F607F">
        <w:t>ür die Verfolgung der Übertretu</w:t>
      </w:r>
      <w:r w:rsidRPr="000F607F">
        <w:t>n</w:t>
      </w:r>
      <w:r w:rsidRPr="000F607F">
        <w:t xml:space="preserve">gen </w:t>
      </w:r>
      <w:r w:rsidR="005440C8">
        <w:t>gilt die Strafprozessordnung</w:t>
      </w:r>
      <w:r w:rsidRPr="000F607F">
        <w:t xml:space="preserve">. Die strafrechtliche Verantwortlichkeit trifft </w:t>
      </w:r>
      <w:r w:rsidR="00047337">
        <w:t>sowohl Siche</w:t>
      </w:r>
      <w:r w:rsidR="00047337">
        <w:t>r</w:t>
      </w:r>
      <w:r w:rsidR="00047337">
        <w:t>heitsangestellte als auch Geschäftsführer von Sicherheitsunte</w:t>
      </w:r>
      <w:r w:rsidR="00047337">
        <w:t>r</w:t>
      </w:r>
      <w:r w:rsidR="00047337">
        <w:t>nehmen</w:t>
      </w:r>
      <w:r w:rsidRPr="000F607F">
        <w:t>.</w:t>
      </w:r>
    </w:p>
    <w:p w:rsidR="00F7459B" w:rsidRDefault="00F7459B" w:rsidP="000F607F"/>
    <w:p w:rsidR="00F7459B" w:rsidRPr="000F607F" w:rsidRDefault="00F7459B" w:rsidP="00F7459B">
      <w:r>
        <w:t>Wer ohne Bewilligung tätig ist, wird mit einer Mindestbusse von Fr. 500 bestraft (Art. 19 Abs. 1). Bei einem schwerw</w:t>
      </w:r>
      <w:r w:rsidR="00487465">
        <w:t>iegenden Verstoss gegen Art. 10–</w:t>
      </w:r>
      <w:r>
        <w:t xml:space="preserve">14 beträgt die Mindestbusse Fr. 200 (Art. 19 Abs. 2). Geringfügige Verstösse </w:t>
      </w:r>
      <w:r w:rsidR="00487465">
        <w:t>gegen Art. 10–</w:t>
      </w:r>
      <w:r>
        <w:t xml:space="preserve">14 </w:t>
      </w:r>
      <w:r w:rsidR="00487465">
        <w:t>werden ausschliesslich nach Art. 20 sanktioniert.</w:t>
      </w:r>
    </w:p>
    <w:p w:rsidR="00EE2802" w:rsidRDefault="00EE2802" w:rsidP="00BE4728"/>
    <w:p w:rsidR="000F607F" w:rsidRDefault="000F607F" w:rsidP="00BE4728"/>
    <w:p w:rsidR="00EE2802" w:rsidRDefault="00EE2802" w:rsidP="00EE2802">
      <w:pPr>
        <w:spacing w:after="120"/>
        <w:rPr>
          <w:b/>
          <w:i/>
        </w:rPr>
      </w:pPr>
      <w:r w:rsidRPr="00D429E9">
        <w:rPr>
          <w:b/>
          <w:i/>
        </w:rPr>
        <w:t xml:space="preserve">Zu Artikel </w:t>
      </w:r>
      <w:r w:rsidR="00DF5EF1">
        <w:rPr>
          <w:b/>
          <w:i/>
        </w:rPr>
        <w:t>20</w:t>
      </w:r>
    </w:p>
    <w:p w:rsidR="00867297" w:rsidRDefault="00F017BF" w:rsidP="00BE4728">
      <w:r>
        <w:t>W</w:t>
      </w:r>
      <w:r w:rsidRPr="00F017BF">
        <w:t>enn die Bewilligungsvoraussetzungen nicht mehr erfüllt sind oder ein Verstoss gegen Art. 10</w:t>
      </w:r>
      <w:r w:rsidRPr="00F017BF">
        <w:rPr>
          <w:lang w:val="de-DE"/>
        </w:rPr>
        <w:t>–</w:t>
      </w:r>
      <w:r w:rsidR="00290A75">
        <w:t>14</w:t>
      </w:r>
      <w:r w:rsidRPr="00F017BF">
        <w:t xml:space="preserve"> vorliegt</w:t>
      </w:r>
      <w:r>
        <w:t>,</w:t>
      </w:r>
      <w:r w:rsidRPr="00F017BF">
        <w:t xml:space="preserve"> </w:t>
      </w:r>
      <w:r w:rsidR="00487465">
        <w:t xml:space="preserve">können die in Art. 20 vorgesehenen Sanktionen angeordnet </w:t>
      </w:r>
      <w:r w:rsidRPr="00F017BF">
        <w:t>werden</w:t>
      </w:r>
      <w:r>
        <w:t>. Diese administrative</w:t>
      </w:r>
      <w:r w:rsidR="00487465">
        <w:t>n</w:t>
      </w:r>
      <w:r>
        <w:t xml:space="preserve"> Massnahme</w:t>
      </w:r>
      <w:r w:rsidR="00487465">
        <w:t>n</w:t>
      </w:r>
      <w:r>
        <w:t xml:space="preserve"> </w:t>
      </w:r>
      <w:r w:rsidR="00487465">
        <w:t xml:space="preserve">kommen </w:t>
      </w:r>
      <w:r>
        <w:t xml:space="preserve">kumulativ zur Strafbestimmung (Art. </w:t>
      </w:r>
      <w:r w:rsidR="00DF5EF1">
        <w:t>19</w:t>
      </w:r>
      <w:r>
        <w:t>) zur Anwe</w:t>
      </w:r>
      <w:r>
        <w:t>n</w:t>
      </w:r>
      <w:r>
        <w:t>dung. Gemäss allgemeinen verwaltungsrechtlichen Grundsätzen ist für den Bewilligung</w:t>
      </w:r>
      <w:r>
        <w:t>s</w:t>
      </w:r>
      <w:r>
        <w:t xml:space="preserve">entzug </w:t>
      </w:r>
      <w:r w:rsidR="00487465">
        <w:t xml:space="preserve">etc. </w:t>
      </w:r>
      <w:r>
        <w:t>jene Behörde zuständig, welche die B</w:t>
      </w:r>
      <w:r>
        <w:t>e</w:t>
      </w:r>
      <w:r>
        <w:t>willigung ausgestellt hat.</w:t>
      </w:r>
    </w:p>
    <w:p w:rsidR="00487465" w:rsidRDefault="00487465" w:rsidP="00BE4728"/>
    <w:p w:rsidR="00487465" w:rsidRDefault="00F90043" w:rsidP="00487465">
      <w:r>
        <w:br w:type="page"/>
      </w:r>
      <w:r w:rsidR="00487465">
        <w:lastRenderedPageBreak/>
        <w:t>Das Sanktionensystem präsentiert sich insgesamt wie folgt:</w:t>
      </w:r>
    </w:p>
    <w:p w:rsidR="00CD5458" w:rsidRDefault="00CD5458" w:rsidP="00CD5458">
      <w:pPr>
        <w:numPr>
          <w:ilvl w:val="0"/>
          <w:numId w:val="9"/>
        </w:numPr>
        <w:spacing w:before="120"/>
        <w:ind w:hanging="352"/>
      </w:pPr>
      <w:r>
        <w:t>Bewilligungsvoraussetzungen nicht mehr erfüllt: Bewilligungsentzug</w:t>
      </w:r>
      <w:r w:rsidR="00764A7F">
        <w:t>.</w:t>
      </w:r>
    </w:p>
    <w:p w:rsidR="00487465" w:rsidRDefault="00487465" w:rsidP="00487465">
      <w:pPr>
        <w:numPr>
          <w:ilvl w:val="0"/>
          <w:numId w:val="9"/>
        </w:numPr>
        <w:spacing w:before="120"/>
        <w:ind w:hanging="352"/>
      </w:pPr>
      <w:r>
        <w:t>Tätigkeit ohne Bewilligung: Busse nicht unter Fr. 500.</w:t>
      </w:r>
    </w:p>
    <w:p w:rsidR="00487465" w:rsidRDefault="00487465" w:rsidP="00487465">
      <w:pPr>
        <w:numPr>
          <w:ilvl w:val="0"/>
          <w:numId w:val="9"/>
        </w:numPr>
        <w:spacing w:before="120"/>
        <w:ind w:hanging="352"/>
      </w:pPr>
      <w:r>
        <w:t>Verstoss gegen Art. 10</w:t>
      </w:r>
      <w:r w:rsidR="00CD5458">
        <w:t>–</w:t>
      </w:r>
      <w:r>
        <w:t>14:</w:t>
      </w:r>
    </w:p>
    <w:p w:rsidR="00487465" w:rsidRDefault="00487465" w:rsidP="00CD5458">
      <w:pPr>
        <w:numPr>
          <w:ilvl w:val="1"/>
          <w:numId w:val="9"/>
        </w:numPr>
        <w:spacing w:before="120"/>
      </w:pPr>
      <w:r>
        <w:t>in leichten Fällen: Verweis oder Ordnungsbusse bis Fr. 200</w:t>
      </w:r>
      <w:r w:rsidR="00764A7F">
        <w:t>;</w:t>
      </w:r>
    </w:p>
    <w:p w:rsidR="00487465" w:rsidRDefault="00487465" w:rsidP="00CD5458">
      <w:pPr>
        <w:numPr>
          <w:ilvl w:val="1"/>
          <w:numId w:val="9"/>
        </w:numPr>
        <w:spacing w:before="120"/>
      </w:pPr>
      <w:r>
        <w:t>in schwerwiegenden Fällen: Sistierung der Bewilligung</w:t>
      </w:r>
      <w:r w:rsidR="00764A7F">
        <w:t xml:space="preserve"> oder</w:t>
      </w:r>
      <w:r>
        <w:t xml:space="preserve"> Bewilligungsen</w:t>
      </w:r>
      <w:r>
        <w:t>t</w:t>
      </w:r>
      <w:r>
        <w:t xml:space="preserve">zug </w:t>
      </w:r>
      <w:r w:rsidR="00764A7F">
        <w:t xml:space="preserve">sowie </w:t>
      </w:r>
      <w:r>
        <w:t>Busse nicht unter Fr. 200.</w:t>
      </w:r>
    </w:p>
    <w:p w:rsidR="00867297" w:rsidRDefault="00867297" w:rsidP="00BE4728"/>
    <w:p w:rsidR="00867297" w:rsidRDefault="00867297" w:rsidP="00BE4728"/>
    <w:p w:rsidR="004B64BA" w:rsidRDefault="004B64BA" w:rsidP="004B64BA">
      <w:pPr>
        <w:spacing w:after="120"/>
        <w:rPr>
          <w:b/>
          <w:i/>
        </w:rPr>
      </w:pPr>
      <w:r w:rsidRPr="00D429E9">
        <w:rPr>
          <w:b/>
          <w:i/>
        </w:rPr>
        <w:t xml:space="preserve">Zu Artikel </w:t>
      </w:r>
      <w:r w:rsidR="00DF5EF1">
        <w:rPr>
          <w:b/>
          <w:i/>
        </w:rPr>
        <w:t>21</w:t>
      </w:r>
    </w:p>
    <w:p w:rsidR="00F916D0" w:rsidRDefault="00F916D0" w:rsidP="00BE4728">
      <w:r>
        <w:t xml:space="preserve">Artikel </w:t>
      </w:r>
      <w:r w:rsidR="00DF5EF1">
        <w:t>21</w:t>
      </w:r>
      <w:r>
        <w:t xml:space="preserve"> enthält Schlussbestimmungen betreffend </w:t>
      </w:r>
      <w:r w:rsidRPr="00F916D0">
        <w:t>Inkrafttreten und Kündigung</w:t>
      </w:r>
      <w:r>
        <w:t>.</w:t>
      </w:r>
    </w:p>
    <w:p w:rsidR="00F916D0" w:rsidRDefault="00F916D0" w:rsidP="00BE4728"/>
    <w:p w:rsidR="00F916D0" w:rsidRDefault="00F916D0" w:rsidP="00BE4728"/>
    <w:p w:rsidR="000F471B" w:rsidRDefault="000F471B" w:rsidP="000F471B">
      <w:pPr>
        <w:spacing w:after="120"/>
        <w:rPr>
          <w:b/>
          <w:i/>
        </w:rPr>
      </w:pPr>
      <w:r w:rsidRPr="00D429E9">
        <w:rPr>
          <w:b/>
          <w:i/>
        </w:rPr>
        <w:t xml:space="preserve">Zu Artikel </w:t>
      </w:r>
      <w:r w:rsidR="00DF5EF1">
        <w:rPr>
          <w:b/>
          <w:i/>
        </w:rPr>
        <w:t>22</w:t>
      </w:r>
    </w:p>
    <w:p w:rsidR="000F471B" w:rsidRPr="00F916D0" w:rsidRDefault="00F916D0" w:rsidP="00BE4728">
      <w:r>
        <w:t xml:space="preserve">Artikel </w:t>
      </w:r>
      <w:r w:rsidR="00DF5EF1">
        <w:t>22</w:t>
      </w:r>
      <w:r>
        <w:t xml:space="preserve"> enthält Übergangsbestimmungen betreffend </w:t>
      </w:r>
      <w:r w:rsidR="005440C8">
        <w:t xml:space="preserve">der Weitergeltung </w:t>
      </w:r>
      <w:r w:rsidRPr="00F916D0">
        <w:t xml:space="preserve">bestehender </w:t>
      </w:r>
      <w:r>
        <w:t xml:space="preserve">und </w:t>
      </w:r>
      <w:r w:rsidR="005440C8">
        <w:t xml:space="preserve">dem Einholen </w:t>
      </w:r>
      <w:r>
        <w:t>noch nicht b</w:t>
      </w:r>
      <w:r>
        <w:t>e</w:t>
      </w:r>
      <w:r>
        <w:t xml:space="preserve">stehender </w:t>
      </w:r>
      <w:r w:rsidRPr="00F916D0">
        <w:t>Bewilligungen</w:t>
      </w:r>
      <w:r>
        <w:t>.</w:t>
      </w:r>
    </w:p>
    <w:p w:rsidR="00F916D0" w:rsidRDefault="00F916D0" w:rsidP="00BE4728"/>
    <w:p w:rsidR="00B75F77" w:rsidRDefault="005E5EE5" w:rsidP="00A617C6">
      <w:r>
        <w:t>Es soll erreicht werden, dass die Bestimmungen des Konkordats innerhalb von zwei Jahren nach dem Beitritt eines Kantons Geltung erlangen. Auf diese Weise ist sowohl seitens der Behörden als auch seitens der Sicherheitsunternehmen die nötige Zeit für die Anpassung der Strukturen oder die Konzeption der Ausbildungen vorhanden, ohne dass die Anpassu</w:t>
      </w:r>
      <w:r>
        <w:t>n</w:t>
      </w:r>
      <w:r>
        <w:t>gen auf die lange Bank geschoben werden.</w:t>
      </w:r>
    </w:p>
    <w:p w:rsidR="005E5EE5" w:rsidRDefault="005E5EE5" w:rsidP="00A617C6"/>
    <w:p w:rsidR="00525208" w:rsidRDefault="00525208" w:rsidP="00A617C6"/>
    <w:p w:rsidR="00525208" w:rsidRDefault="00525208" w:rsidP="00A617C6"/>
    <w:p w:rsidR="00525208" w:rsidRDefault="00525208" w:rsidP="00A617C6"/>
    <w:p w:rsidR="00525208" w:rsidRDefault="00525208" w:rsidP="00A617C6"/>
    <w:p w:rsidR="00B65E96" w:rsidRPr="00847371" w:rsidRDefault="00D86494" w:rsidP="00847371">
      <w:pPr>
        <w:spacing w:after="120"/>
        <w:rPr>
          <w:i/>
          <w:sz w:val="16"/>
          <w:szCs w:val="16"/>
        </w:rPr>
      </w:pPr>
      <w:r>
        <w:rPr>
          <w:i/>
          <w:sz w:val="16"/>
          <w:szCs w:val="16"/>
        </w:rPr>
        <w:t>21.1.11</w:t>
      </w:r>
      <w:r w:rsidR="000C4217">
        <w:rPr>
          <w:i/>
          <w:sz w:val="16"/>
          <w:szCs w:val="16"/>
        </w:rPr>
        <w:t>, sl</w:t>
      </w:r>
      <w:r w:rsidR="000C4217">
        <w:rPr>
          <w:i/>
          <w:sz w:val="16"/>
          <w:szCs w:val="16"/>
        </w:rPr>
        <w:br/>
      </w:r>
      <w:r w:rsidR="000C4217" w:rsidRPr="00606705">
        <w:rPr>
          <w:bCs/>
          <w:i/>
          <w:sz w:val="16"/>
          <w:szCs w:val="16"/>
        </w:rPr>
        <w:t>049912.02</w:t>
      </w:r>
    </w:p>
    <w:sectPr w:rsidR="00B65E96" w:rsidRPr="00847371" w:rsidSect="003859E0">
      <w:headerReference w:type="default" r:id="rId13"/>
      <w:pgSz w:w="11906" w:h="16838" w:code="9"/>
      <w:pgMar w:top="1418" w:right="1134" w:bottom="1134" w:left="181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F14" w:rsidRDefault="00102F14">
      <w:r>
        <w:separator/>
      </w:r>
    </w:p>
  </w:endnote>
  <w:endnote w:type="continuationSeparator" w:id="0">
    <w:p w:rsidR="00102F14" w:rsidRDefault="00102F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F14" w:rsidRDefault="00102F14">
      <w:r>
        <w:separator/>
      </w:r>
    </w:p>
  </w:footnote>
  <w:footnote w:type="continuationSeparator" w:id="0">
    <w:p w:rsidR="00102F14" w:rsidRDefault="00102F14">
      <w:r>
        <w:continuationSeparator/>
      </w:r>
    </w:p>
  </w:footnote>
  <w:footnote w:id="1">
    <w:p w:rsidR="00090655" w:rsidRPr="00EB20C9" w:rsidRDefault="00090655" w:rsidP="00EB20C9">
      <w:pPr>
        <w:pStyle w:val="Funotentext"/>
        <w:ind w:left="142" w:hanging="142"/>
        <w:rPr>
          <w:sz w:val="18"/>
          <w:szCs w:val="18"/>
        </w:rPr>
      </w:pPr>
      <w:r w:rsidRPr="00EB20C9">
        <w:rPr>
          <w:rStyle w:val="Funotenzeichen"/>
          <w:sz w:val="18"/>
          <w:szCs w:val="18"/>
        </w:rPr>
        <w:footnoteRef/>
      </w:r>
      <w:r w:rsidRPr="00EB20C9">
        <w:rPr>
          <w:sz w:val="18"/>
          <w:szCs w:val="18"/>
        </w:rPr>
        <w:t xml:space="preserve"> Konferenz der Kantonalen Polizeikommandanten der Schweiz</w:t>
      </w:r>
    </w:p>
  </w:footnote>
  <w:footnote w:id="2">
    <w:p w:rsidR="00090655" w:rsidRPr="00EB20C9" w:rsidRDefault="00090655" w:rsidP="00EB20C9">
      <w:pPr>
        <w:pStyle w:val="Funotentext"/>
        <w:ind w:left="142" w:hanging="142"/>
        <w:rPr>
          <w:sz w:val="18"/>
          <w:szCs w:val="18"/>
        </w:rPr>
      </w:pPr>
      <w:r w:rsidRPr="00EB20C9">
        <w:rPr>
          <w:rStyle w:val="Funotenzeichen"/>
          <w:sz w:val="18"/>
          <w:szCs w:val="18"/>
        </w:rPr>
        <w:footnoteRef/>
      </w:r>
      <w:r w:rsidRPr="00EB20C9">
        <w:rPr>
          <w:sz w:val="18"/>
          <w:szCs w:val="18"/>
        </w:rPr>
        <w:t xml:space="preserve"> Verband Schweizerischer Sicherheitsdienstleistungs-Unternehmen</w:t>
      </w:r>
    </w:p>
  </w:footnote>
  <w:footnote w:id="3">
    <w:p w:rsidR="00090655" w:rsidRPr="00EB20C9" w:rsidRDefault="00090655" w:rsidP="00DF5EF1">
      <w:pPr>
        <w:pStyle w:val="Funotentext"/>
        <w:ind w:left="142" w:hanging="142"/>
        <w:rPr>
          <w:sz w:val="18"/>
          <w:szCs w:val="18"/>
        </w:rPr>
      </w:pPr>
      <w:r w:rsidRPr="00EB20C9">
        <w:rPr>
          <w:rStyle w:val="Funotenzeichen"/>
          <w:sz w:val="18"/>
          <w:szCs w:val="18"/>
        </w:rPr>
        <w:footnoteRef/>
      </w:r>
      <w:r w:rsidRPr="00EB20C9">
        <w:rPr>
          <w:sz w:val="18"/>
          <w:szCs w:val="18"/>
        </w:rPr>
        <w:t xml:space="preserve"> Schweizerisches Strafgesetzbuch vom 21. D</w:t>
      </w:r>
      <w:r w:rsidRPr="00EB20C9">
        <w:rPr>
          <w:sz w:val="18"/>
          <w:szCs w:val="18"/>
        </w:rPr>
        <w:t>e</w:t>
      </w:r>
      <w:r w:rsidRPr="00EB20C9">
        <w:rPr>
          <w:sz w:val="18"/>
          <w:szCs w:val="18"/>
        </w:rPr>
        <w:t>zember 1937 (SR 311.0)</w:t>
      </w:r>
    </w:p>
  </w:footnote>
  <w:footnote w:id="4">
    <w:p w:rsidR="00090655" w:rsidRPr="00EB20C9" w:rsidRDefault="00090655" w:rsidP="00DF5EF1">
      <w:pPr>
        <w:pStyle w:val="Funotentext"/>
        <w:ind w:left="142" w:hanging="142"/>
        <w:rPr>
          <w:sz w:val="18"/>
          <w:szCs w:val="18"/>
        </w:rPr>
      </w:pPr>
      <w:r w:rsidRPr="00EB20C9">
        <w:rPr>
          <w:rStyle w:val="Funotenzeichen"/>
          <w:sz w:val="18"/>
          <w:szCs w:val="18"/>
        </w:rPr>
        <w:footnoteRef/>
      </w:r>
      <w:r w:rsidRPr="00EB20C9">
        <w:rPr>
          <w:sz w:val="18"/>
          <w:szCs w:val="18"/>
        </w:rPr>
        <w:t xml:space="preserve"> BG vom 30. März 1911 betreffend die Ergänzung des Schweizerischen Zivilgesetzbuches (Fünfter Teil: Obl</w:t>
      </w:r>
      <w:r w:rsidRPr="00EB20C9">
        <w:rPr>
          <w:sz w:val="18"/>
          <w:szCs w:val="18"/>
        </w:rPr>
        <w:t>i</w:t>
      </w:r>
      <w:r w:rsidRPr="00EB20C9">
        <w:rPr>
          <w:sz w:val="18"/>
          <w:szCs w:val="18"/>
        </w:rPr>
        <w:t>gationenrechte) (SR 220)</w:t>
      </w:r>
    </w:p>
  </w:footnote>
  <w:footnote w:id="5">
    <w:p w:rsidR="00090655" w:rsidRPr="00DE4733" w:rsidRDefault="00090655">
      <w:pPr>
        <w:pStyle w:val="Funotentext"/>
        <w:rPr>
          <w:sz w:val="18"/>
          <w:szCs w:val="18"/>
        </w:rPr>
      </w:pPr>
      <w:r w:rsidRPr="00DE4733">
        <w:rPr>
          <w:rStyle w:val="Funotenzeichen"/>
          <w:sz w:val="18"/>
          <w:szCs w:val="18"/>
        </w:rPr>
        <w:footnoteRef/>
      </w:r>
      <w:r w:rsidRPr="00DE4733">
        <w:rPr>
          <w:sz w:val="18"/>
          <w:szCs w:val="18"/>
        </w:rPr>
        <w:t xml:space="preserve"> Schweizerische Strafprozessordnung vom 5. Oktober 2007 (AS 2010 1881)</w:t>
      </w:r>
    </w:p>
  </w:footnote>
  <w:footnote w:id="6">
    <w:p w:rsidR="00090655" w:rsidRPr="00EB20C9" w:rsidRDefault="00090655" w:rsidP="00DF5EF1">
      <w:pPr>
        <w:pStyle w:val="Funotentext"/>
        <w:ind w:left="142" w:hanging="142"/>
        <w:rPr>
          <w:sz w:val="18"/>
          <w:szCs w:val="18"/>
        </w:rPr>
      </w:pPr>
      <w:r w:rsidRPr="00EB20C9">
        <w:rPr>
          <w:rStyle w:val="Funotenzeichen"/>
          <w:sz w:val="18"/>
          <w:szCs w:val="18"/>
        </w:rPr>
        <w:footnoteRef/>
      </w:r>
      <w:r w:rsidRPr="00EB20C9">
        <w:rPr>
          <w:sz w:val="18"/>
          <w:szCs w:val="18"/>
        </w:rPr>
        <w:t xml:space="preserve"> Bundesverfassung der Schweizerischen Eidg</w:t>
      </w:r>
      <w:r w:rsidRPr="00EB20C9">
        <w:rPr>
          <w:sz w:val="18"/>
          <w:szCs w:val="18"/>
        </w:rPr>
        <w:t>e</w:t>
      </w:r>
      <w:r w:rsidRPr="00EB20C9">
        <w:rPr>
          <w:sz w:val="18"/>
          <w:szCs w:val="18"/>
        </w:rPr>
        <w:t>nossenschaft vom 18. April 1999 (SR 101)</w:t>
      </w:r>
    </w:p>
  </w:footnote>
  <w:footnote w:id="7">
    <w:p w:rsidR="00090655" w:rsidRPr="00EB20C9" w:rsidRDefault="00090655" w:rsidP="00DF5EF1">
      <w:pPr>
        <w:pStyle w:val="Funotentext"/>
        <w:ind w:left="142" w:hanging="142"/>
        <w:rPr>
          <w:sz w:val="18"/>
          <w:szCs w:val="18"/>
        </w:rPr>
      </w:pPr>
      <w:r w:rsidRPr="00EB20C9">
        <w:rPr>
          <w:rStyle w:val="Funotenzeichen"/>
          <w:sz w:val="18"/>
          <w:szCs w:val="18"/>
        </w:rPr>
        <w:footnoteRef/>
      </w:r>
      <w:r w:rsidRPr="00EB20C9">
        <w:rPr>
          <w:sz w:val="18"/>
          <w:szCs w:val="18"/>
        </w:rPr>
        <w:t xml:space="preserve"> Schweizerisches Zivilgesetzbuch vom 10. Deze</w:t>
      </w:r>
      <w:r w:rsidRPr="00EB20C9">
        <w:rPr>
          <w:sz w:val="18"/>
          <w:szCs w:val="18"/>
        </w:rPr>
        <w:t>m</w:t>
      </w:r>
      <w:r w:rsidRPr="00EB20C9">
        <w:rPr>
          <w:sz w:val="18"/>
          <w:szCs w:val="18"/>
        </w:rPr>
        <w:t>ber 1907 (SR 210)</w:t>
      </w:r>
    </w:p>
  </w:footnote>
  <w:footnote w:id="8">
    <w:p w:rsidR="00090655" w:rsidRPr="00DE4733" w:rsidRDefault="00090655" w:rsidP="00DF5EF1">
      <w:pPr>
        <w:pStyle w:val="Funotentext"/>
        <w:ind w:left="142" w:hanging="142"/>
        <w:rPr>
          <w:sz w:val="18"/>
          <w:szCs w:val="18"/>
        </w:rPr>
      </w:pPr>
      <w:r w:rsidRPr="00DE4733">
        <w:rPr>
          <w:rStyle w:val="Funotenzeichen"/>
          <w:sz w:val="18"/>
          <w:szCs w:val="18"/>
        </w:rPr>
        <w:footnoteRef/>
      </w:r>
      <w:r w:rsidRPr="00DE4733">
        <w:rPr>
          <w:sz w:val="18"/>
          <w:szCs w:val="18"/>
        </w:rPr>
        <w:t xml:space="preserve"> Signalisationsverordnung vom 5. September 1979 (SR 741.21)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55" w:rsidRPr="00A13FB5" w:rsidRDefault="00090655" w:rsidP="00A132ED">
    <w:pPr>
      <w:pStyle w:val="Kopfzeile"/>
      <w:jc w:val="right"/>
      <w:rPr>
        <w:i/>
        <w:sz w:val="18"/>
        <w:szCs w:val="18"/>
      </w:rPr>
    </w:pPr>
    <w:r>
      <w:rPr>
        <w:rStyle w:val="Seitenzahl"/>
        <w:i/>
        <w:sz w:val="18"/>
        <w:szCs w:val="18"/>
      </w:rPr>
      <w:t xml:space="preserve">Seite </w:t>
    </w:r>
    <w:r w:rsidRPr="00A13FB5">
      <w:rPr>
        <w:rStyle w:val="Seitenzahl"/>
        <w:i/>
        <w:sz w:val="18"/>
        <w:szCs w:val="18"/>
      </w:rPr>
      <w:fldChar w:fldCharType="begin"/>
    </w:r>
    <w:r w:rsidRPr="00A13FB5">
      <w:rPr>
        <w:rStyle w:val="Seitenzahl"/>
        <w:i/>
        <w:sz w:val="18"/>
        <w:szCs w:val="18"/>
      </w:rPr>
      <w:instrText xml:space="preserve"> PAGE </w:instrText>
    </w:r>
    <w:r w:rsidRPr="00A13FB5">
      <w:rPr>
        <w:rStyle w:val="Seitenzahl"/>
        <w:i/>
        <w:sz w:val="18"/>
        <w:szCs w:val="18"/>
      </w:rPr>
      <w:fldChar w:fldCharType="separate"/>
    </w:r>
    <w:r w:rsidR="00777E53">
      <w:rPr>
        <w:rStyle w:val="Seitenzahl"/>
        <w:i/>
        <w:noProof/>
        <w:sz w:val="18"/>
        <w:szCs w:val="18"/>
      </w:rPr>
      <w:t>13</w:t>
    </w:r>
    <w:r w:rsidRPr="00A13FB5">
      <w:rPr>
        <w:rStyle w:val="Seitenzahl"/>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D09"/>
    <w:multiLevelType w:val="hybridMultilevel"/>
    <w:tmpl w:val="8A402E5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A201211"/>
    <w:multiLevelType w:val="hybridMultilevel"/>
    <w:tmpl w:val="754682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C967F0E"/>
    <w:multiLevelType w:val="hybridMultilevel"/>
    <w:tmpl w:val="18E6B2DA"/>
    <w:lvl w:ilvl="0" w:tplc="C610033A">
      <w:start w:val="1"/>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11DA7981"/>
    <w:multiLevelType w:val="hybridMultilevel"/>
    <w:tmpl w:val="2BA4B4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C5E3F88"/>
    <w:multiLevelType w:val="hybridMultilevel"/>
    <w:tmpl w:val="EF202F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FD33CD2"/>
    <w:multiLevelType w:val="hybridMultilevel"/>
    <w:tmpl w:val="1C8A22DE"/>
    <w:lvl w:ilvl="0" w:tplc="D68A1CD6">
      <w:start w:val="1"/>
      <w:numFmt w:val="bullet"/>
      <w:lvlText w:val="▪"/>
      <w:lvlJc w:val="left"/>
      <w:pPr>
        <w:tabs>
          <w:tab w:val="num" w:pos="360"/>
        </w:tabs>
        <w:ind w:left="360" w:hanging="360"/>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0EB3525"/>
    <w:multiLevelType w:val="hybridMultilevel"/>
    <w:tmpl w:val="26F28C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49296FCE"/>
    <w:multiLevelType w:val="hybridMultilevel"/>
    <w:tmpl w:val="68946E5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nsid w:val="50A93C50"/>
    <w:multiLevelType w:val="hybridMultilevel"/>
    <w:tmpl w:val="3148150C"/>
    <w:lvl w:ilvl="0" w:tplc="4F26B45C">
      <w:start w:val="1"/>
      <w:numFmt w:val="bullet"/>
      <w:lvlText w:val=""/>
      <w:lvlJc w:val="left"/>
      <w:pPr>
        <w:tabs>
          <w:tab w:val="num" w:pos="709"/>
        </w:tabs>
        <w:ind w:left="709" w:hanging="349"/>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1520420"/>
    <w:multiLevelType w:val="hybridMultilevel"/>
    <w:tmpl w:val="C3FE675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91938BD"/>
    <w:multiLevelType w:val="hybridMultilevel"/>
    <w:tmpl w:val="78BA0BEC"/>
    <w:lvl w:ilvl="0" w:tplc="D68A1CD6">
      <w:start w:val="1"/>
      <w:numFmt w:val="bullet"/>
      <w:lvlText w:val="▪"/>
      <w:lvlJc w:val="left"/>
      <w:pPr>
        <w:tabs>
          <w:tab w:val="num" w:pos="360"/>
        </w:tabs>
        <w:ind w:left="360" w:hanging="360"/>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9430A8C"/>
    <w:multiLevelType w:val="hybridMultilevel"/>
    <w:tmpl w:val="AE0EC5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6A9362B7"/>
    <w:multiLevelType w:val="hybridMultilevel"/>
    <w:tmpl w:val="A2A63926"/>
    <w:lvl w:ilvl="0" w:tplc="4F26B45C">
      <w:start w:val="1"/>
      <w:numFmt w:val="bullet"/>
      <w:lvlText w:val=""/>
      <w:lvlJc w:val="left"/>
      <w:pPr>
        <w:tabs>
          <w:tab w:val="num" w:pos="709"/>
        </w:tabs>
        <w:ind w:left="709" w:hanging="349"/>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C9D1077"/>
    <w:multiLevelType w:val="hybridMultilevel"/>
    <w:tmpl w:val="92EC00B0"/>
    <w:lvl w:ilvl="0" w:tplc="4F26B45C">
      <w:start w:val="1"/>
      <w:numFmt w:val="bullet"/>
      <w:lvlText w:val=""/>
      <w:lvlJc w:val="left"/>
      <w:pPr>
        <w:tabs>
          <w:tab w:val="num" w:pos="709"/>
        </w:tabs>
        <w:ind w:left="709" w:hanging="349"/>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D032F1B"/>
    <w:multiLevelType w:val="hybridMultilevel"/>
    <w:tmpl w:val="D8B6663A"/>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nsid w:val="7E404372"/>
    <w:multiLevelType w:val="hybridMultilevel"/>
    <w:tmpl w:val="783E53DC"/>
    <w:lvl w:ilvl="0" w:tplc="4F26B45C">
      <w:start w:val="1"/>
      <w:numFmt w:val="bullet"/>
      <w:lvlText w:val=""/>
      <w:lvlJc w:val="left"/>
      <w:pPr>
        <w:tabs>
          <w:tab w:val="num" w:pos="709"/>
        </w:tabs>
        <w:ind w:left="709" w:hanging="349"/>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E6E0EA6"/>
    <w:multiLevelType w:val="hybridMultilevel"/>
    <w:tmpl w:val="57C6A8E2"/>
    <w:lvl w:ilvl="0" w:tplc="4DB6A7C4">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5"/>
  </w:num>
  <w:num w:numId="4">
    <w:abstractNumId w:val="0"/>
  </w:num>
  <w:num w:numId="5">
    <w:abstractNumId w:val="9"/>
  </w:num>
  <w:num w:numId="6">
    <w:abstractNumId w:val="2"/>
  </w:num>
  <w:num w:numId="7">
    <w:abstractNumId w:val="13"/>
  </w:num>
  <w:num w:numId="8">
    <w:abstractNumId w:val="12"/>
  </w:num>
  <w:num w:numId="9">
    <w:abstractNumId w:val="8"/>
  </w:num>
  <w:num w:numId="10">
    <w:abstractNumId w:val="15"/>
  </w:num>
  <w:num w:numId="11">
    <w:abstractNumId w:val="14"/>
  </w:num>
  <w:num w:numId="12">
    <w:abstractNumId w:val="1"/>
  </w:num>
  <w:num w:numId="13">
    <w:abstractNumId w:val="11"/>
  </w:num>
  <w:num w:numId="14">
    <w:abstractNumId w:val="7"/>
  </w:num>
  <w:num w:numId="15">
    <w:abstractNumId w:val="6"/>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isplayBackgroundShape/>
  <w:proofState w:grammar="clean"/>
  <w:stylePaneFormatFilter w:val="3F01"/>
  <w:defaultTabStop w:val="708"/>
  <w:autoHyphenation/>
  <w:hyphenationZone w:val="284"/>
  <w:characterSpacingControl w:val="doNotCompress"/>
  <w:hdrShapeDefaults>
    <o:shapedefaults v:ext="edit" spidmax="3074">
      <o:colormru v:ext="edit" colors="#00bcb8"/>
    </o:shapedefaults>
  </w:hdrShapeDefaults>
  <w:footnotePr>
    <w:footnote w:id="-1"/>
    <w:footnote w:id="0"/>
  </w:footnotePr>
  <w:endnotePr>
    <w:endnote w:id="-1"/>
    <w:endnote w:id="0"/>
  </w:endnotePr>
  <w:compat/>
  <w:rsids>
    <w:rsidRoot w:val="009B1E59"/>
    <w:rsid w:val="00002959"/>
    <w:rsid w:val="00003319"/>
    <w:rsid w:val="00012F42"/>
    <w:rsid w:val="00014064"/>
    <w:rsid w:val="000140C4"/>
    <w:rsid w:val="00016160"/>
    <w:rsid w:val="00024EC7"/>
    <w:rsid w:val="000256F4"/>
    <w:rsid w:val="00033344"/>
    <w:rsid w:val="00047337"/>
    <w:rsid w:val="00061807"/>
    <w:rsid w:val="00072E97"/>
    <w:rsid w:val="00083A24"/>
    <w:rsid w:val="00085B8C"/>
    <w:rsid w:val="00090655"/>
    <w:rsid w:val="00094D2E"/>
    <w:rsid w:val="0009540D"/>
    <w:rsid w:val="000A677A"/>
    <w:rsid w:val="000B0C77"/>
    <w:rsid w:val="000B2387"/>
    <w:rsid w:val="000B279A"/>
    <w:rsid w:val="000C1736"/>
    <w:rsid w:val="000C4217"/>
    <w:rsid w:val="000C4489"/>
    <w:rsid w:val="000D0421"/>
    <w:rsid w:val="000D6577"/>
    <w:rsid w:val="000D732A"/>
    <w:rsid w:val="000E2389"/>
    <w:rsid w:val="000F1396"/>
    <w:rsid w:val="000F471B"/>
    <w:rsid w:val="000F607F"/>
    <w:rsid w:val="000F7587"/>
    <w:rsid w:val="00102F14"/>
    <w:rsid w:val="00105372"/>
    <w:rsid w:val="001061C7"/>
    <w:rsid w:val="00111714"/>
    <w:rsid w:val="001140BC"/>
    <w:rsid w:val="00115316"/>
    <w:rsid w:val="001221E4"/>
    <w:rsid w:val="00125F3F"/>
    <w:rsid w:val="001328DA"/>
    <w:rsid w:val="001342CB"/>
    <w:rsid w:val="0014152D"/>
    <w:rsid w:val="00157571"/>
    <w:rsid w:val="001671DE"/>
    <w:rsid w:val="00183C7A"/>
    <w:rsid w:val="001909EC"/>
    <w:rsid w:val="00196BA3"/>
    <w:rsid w:val="00197136"/>
    <w:rsid w:val="001A0533"/>
    <w:rsid w:val="001A22B8"/>
    <w:rsid w:val="001A3D75"/>
    <w:rsid w:val="001A44E2"/>
    <w:rsid w:val="001A629B"/>
    <w:rsid w:val="001A6508"/>
    <w:rsid w:val="001B53E3"/>
    <w:rsid w:val="001D1E65"/>
    <w:rsid w:val="0020399A"/>
    <w:rsid w:val="0020704D"/>
    <w:rsid w:val="0021241D"/>
    <w:rsid w:val="00215A4F"/>
    <w:rsid w:val="002222CA"/>
    <w:rsid w:val="00233130"/>
    <w:rsid w:val="002342B4"/>
    <w:rsid w:val="002420F9"/>
    <w:rsid w:val="002462B7"/>
    <w:rsid w:val="0025076F"/>
    <w:rsid w:val="002720D4"/>
    <w:rsid w:val="00273A6C"/>
    <w:rsid w:val="00290A75"/>
    <w:rsid w:val="002937E6"/>
    <w:rsid w:val="00293C34"/>
    <w:rsid w:val="002B631F"/>
    <w:rsid w:val="002C2E3F"/>
    <w:rsid w:val="002C4C53"/>
    <w:rsid w:val="002C5AC1"/>
    <w:rsid w:val="002D0A7F"/>
    <w:rsid w:val="002D16B7"/>
    <w:rsid w:val="002D2434"/>
    <w:rsid w:val="002E31D5"/>
    <w:rsid w:val="002F07FD"/>
    <w:rsid w:val="002F1D1A"/>
    <w:rsid w:val="0030029E"/>
    <w:rsid w:val="00311150"/>
    <w:rsid w:val="00312574"/>
    <w:rsid w:val="00314462"/>
    <w:rsid w:val="00320BA9"/>
    <w:rsid w:val="00321E0C"/>
    <w:rsid w:val="0033182D"/>
    <w:rsid w:val="00331A93"/>
    <w:rsid w:val="00341221"/>
    <w:rsid w:val="003426E1"/>
    <w:rsid w:val="0035074C"/>
    <w:rsid w:val="0036250C"/>
    <w:rsid w:val="00380441"/>
    <w:rsid w:val="003859E0"/>
    <w:rsid w:val="0039202E"/>
    <w:rsid w:val="003A5720"/>
    <w:rsid w:val="003A755D"/>
    <w:rsid w:val="003B3091"/>
    <w:rsid w:val="003B6CB4"/>
    <w:rsid w:val="003C492D"/>
    <w:rsid w:val="003D376B"/>
    <w:rsid w:val="003E1FB0"/>
    <w:rsid w:val="003E2724"/>
    <w:rsid w:val="004012EB"/>
    <w:rsid w:val="00403EB3"/>
    <w:rsid w:val="00405B40"/>
    <w:rsid w:val="00406ED8"/>
    <w:rsid w:val="00407ED1"/>
    <w:rsid w:val="0041422A"/>
    <w:rsid w:val="00424034"/>
    <w:rsid w:val="00424843"/>
    <w:rsid w:val="0042620A"/>
    <w:rsid w:val="00462EE5"/>
    <w:rsid w:val="00463668"/>
    <w:rsid w:val="00464999"/>
    <w:rsid w:val="0046664A"/>
    <w:rsid w:val="00467792"/>
    <w:rsid w:val="00467937"/>
    <w:rsid w:val="00473AB8"/>
    <w:rsid w:val="00487465"/>
    <w:rsid w:val="004922C1"/>
    <w:rsid w:val="004948F3"/>
    <w:rsid w:val="004A396D"/>
    <w:rsid w:val="004A6E8F"/>
    <w:rsid w:val="004A7DCE"/>
    <w:rsid w:val="004B2328"/>
    <w:rsid w:val="004B64BA"/>
    <w:rsid w:val="004B76B6"/>
    <w:rsid w:val="004D5568"/>
    <w:rsid w:val="004E4E21"/>
    <w:rsid w:val="00505F2F"/>
    <w:rsid w:val="005074A4"/>
    <w:rsid w:val="00513255"/>
    <w:rsid w:val="0052049E"/>
    <w:rsid w:val="005217A5"/>
    <w:rsid w:val="00525208"/>
    <w:rsid w:val="00534B44"/>
    <w:rsid w:val="00540837"/>
    <w:rsid w:val="005440C8"/>
    <w:rsid w:val="00544A84"/>
    <w:rsid w:val="00546F9A"/>
    <w:rsid w:val="00554ABB"/>
    <w:rsid w:val="00573FFA"/>
    <w:rsid w:val="00577297"/>
    <w:rsid w:val="00577C71"/>
    <w:rsid w:val="005873DA"/>
    <w:rsid w:val="00587CDD"/>
    <w:rsid w:val="005A4D06"/>
    <w:rsid w:val="005B2475"/>
    <w:rsid w:val="005B71E4"/>
    <w:rsid w:val="005C437F"/>
    <w:rsid w:val="005E13DB"/>
    <w:rsid w:val="005E5EE5"/>
    <w:rsid w:val="00600E8E"/>
    <w:rsid w:val="006154F1"/>
    <w:rsid w:val="00616A58"/>
    <w:rsid w:val="00626B35"/>
    <w:rsid w:val="00626DCD"/>
    <w:rsid w:val="00627C63"/>
    <w:rsid w:val="00640749"/>
    <w:rsid w:val="006424DD"/>
    <w:rsid w:val="006430B2"/>
    <w:rsid w:val="00647DCB"/>
    <w:rsid w:val="006509C4"/>
    <w:rsid w:val="00661F7A"/>
    <w:rsid w:val="00667FB4"/>
    <w:rsid w:val="0069794B"/>
    <w:rsid w:val="006A2798"/>
    <w:rsid w:val="006A5955"/>
    <w:rsid w:val="006C6F08"/>
    <w:rsid w:val="006D158F"/>
    <w:rsid w:val="006D5C67"/>
    <w:rsid w:val="006F5D7B"/>
    <w:rsid w:val="00707105"/>
    <w:rsid w:val="007158C2"/>
    <w:rsid w:val="00723C86"/>
    <w:rsid w:val="007429D3"/>
    <w:rsid w:val="00751F97"/>
    <w:rsid w:val="00760560"/>
    <w:rsid w:val="00763436"/>
    <w:rsid w:val="00764A7F"/>
    <w:rsid w:val="0077630B"/>
    <w:rsid w:val="00777E53"/>
    <w:rsid w:val="007824B0"/>
    <w:rsid w:val="007909CA"/>
    <w:rsid w:val="007A3EDB"/>
    <w:rsid w:val="007A7073"/>
    <w:rsid w:val="007A74CC"/>
    <w:rsid w:val="007C7389"/>
    <w:rsid w:val="007C7BC4"/>
    <w:rsid w:val="007E276B"/>
    <w:rsid w:val="007F7DC9"/>
    <w:rsid w:val="008029F0"/>
    <w:rsid w:val="008216BA"/>
    <w:rsid w:val="00821916"/>
    <w:rsid w:val="00823F08"/>
    <w:rsid w:val="00825C92"/>
    <w:rsid w:val="0082668C"/>
    <w:rsid w:val="00830F5F"/>
    <w:rsid w:val="00847371"/>
    <w:rsid w:val="008500DA"/>
    <w:rsid w:val="00852C65"/>
    <w:rsid w:val="00853506"/>
    <w:rsid w:val="00854CAF"/>
    <w:rsid w:val="00861927"/>
    <w:rsid w:val="00864276"/>
    <w:rsid w:val="008642A8"/>
    <w:rsid w:val="00867297"/>
    <w:rsid w:val="00872F08"/>
    <w:rsid w:val="00874C16"/>
    <w:rsid w:val="008761AA"/>
    <w:rsid w:val="00896081"/>
    <w:rsid w:val="008A14F9"/>
    <w:rsid w:val="008A1B7A"/>
    <w:rsid w:val="008B6664"/>
    <w:rsid w:val="008B6F24"/>
    <w:rsid w:val="008C1039"/>
    <w:rsid w:val="008D2AC3"/>
    <w:rsid w:val="008E2748"/>
    <w:rsid w:val="00900E27"/>
    <w:rsid w:val="00901F42"/>
    <w:rsid w:val="00905CD9"/>
    <w:rsid w:val="0091270A"/>
    <w:rsid w:val="009149C4"/>
    <w:rsid w:val="00915068"/>
    <w:rsid w:val="0093402F"/>
    <w:rsid w:val="00940586"/>
    <w:rsid w:val="00957AE8"/>
    <w:rsid w:val="00960512"/>
    <w:rsid w:val="00972D21"/>
    <w:rsid w:val="0097346E"/>
    <w:rsid w:val="00986428"/>
    <w:rsid w:val="00992491"/>
    <w:rsid w:val="009A0105"/>
    <w:rsid w:val="009A02C4"/>
    <w:rsid w:val="009A4378"/>
    <w:rsid w:val="009A6F87"/>
    <w:rsid w:val="009B1E59"/>
    <w:rsid w:val="009B59B6"/>
    <w:rsid w:val="009B5CF8"/>
    <w:rsid w:val="009C1231"/>
    <w:rsid w:val="009D17BD"/>
    <w:rsid w:val="009D290A"/>
    <w:rsid w:val="009E3CB8"/>
    <w:rsid w:val="009E4BF9"/>
    <w:rsid w:val="009F0B0E"/>
    <w:rsid w:val="009F156F"/>
    <w:rsid w:val="009F1A6F"/>
    <w:rsid w:val="009F2ED5"/>
    <w:rsid w:val="00A055FB"/>
    <w:rsid w:val="00A105C4"/>
    <w:rsid w:val="00A1074B"/>
    <w:rsid w:val="00A10F3A"/>
    <w:rsid w:val="00A1149C"/>
    <w:rsid w:val="00A132ED"/>
    <w:rsid w:val="00A13FB5"/>
    <w:rsid w:val="00A213F1"/>
    <w:rsid w:val="00A3224F"/>
    <w:rsid w:val="00A34795"/>
    <w:rsid w:val="00A43A8D"/>
    <w:rsid w:val="00A617C6"/>
    <w:rsid w:val="00A83DA1"/>
    <w:rsid w:val="00A94F79"/>
    <w:rsid w:val="00AA5844"/>
    <w:rsid w:val="00AC22E1"/>
    <w:rsid w:val="00AC70BB"/>
    <w:rsid w:val="00AD0789"/>
    <w:rsid w:val="00AD0D70"/>
    <w:rsid w:val="00AD2E51"/>
    <w:rsid w:val="00AD5C8B"/>
    <w:rsid w:val="00AE2A4F"/>
    <w:rsid w:val="00AE5C84"/>
    <w:rsid w:val="00AE6978"/>
    <w:rsid w:val="00AF202C"/>
    <w:rsid w:val="00AF5B84"/>
    <w:rsid w:val="00B0473D"/>
    <w:rsid w:val="00B10779"/>
    <w:rsid w:val="00B205D5"/>
    <w:rsid w:val="00B20FE2"/>
    <w:rsid w:val="00B23048"/>
    <w:rsid w:val="00B236AD"/>
    <w:rsid w:val="00B316EC"/>
    <w:rsid w:val="00B40A75"/>
    <w:rsid w:val="00B41DD6"/>
    <w:rsid w:val="00B45005"/>
    <w:rsid w:val="00B5090C"/>
    <w:rsid w:val="00B51B62"/>
    <w:rsid w:val="00B54205"/>
    <w:rsid w:val="00B54B7A"/>
    <w:rsid w:val="00B5738B"/>
    <w:rsid w:val="00B65235"/>
    <w:rsid w:val="00B65E96"/>
    <w:rsid w:val="00B75014"/>
    <w:rsid w:val="00B75F77"/>
    <w:rsid w:val="00B92B55"/>
    <w:rsid w:val="00BB4633"/>
    <w:rsid w:val="00BC219D"/>
    <w:rsid w:val="00BC27B0"/>
    <w:rsid w:val="00BC301C"/>
    <w:rsid w:val="00BE2586"/>
    <w:rsid w:val="00BE4728"/>
    <w:rsid w:val="00BF223E"/>
    <w:rsid w:val="00C046A7"/>
    <w:rsid w:val="00C06255"/>
    <w:rsid w:val="00C1372D"/>
    <w:rsid w:val="00C147FF"/>
    <w:rsid w:val="00C167C9"/>
    <w:rsid w:val="00C20152"/>
    <w:rsid w:val="00C26017"/>
    <w:rsid w:val="00C323B1"/>
    <w:rsid w:val="00C668DC"/>
    <w:rsid w:val="00C739EC"/>
    <w:rsid w:val="00C85AEB"/>
    <w:rsid w:val="00C877E7"/>
    <w:rsid w:val="00C97BB1"/>
    <w:rsid w:val="00CA44A7"/>
    <w:rsid w:val="00CB0BED"/>
    <w:rsid w:val="00CB5DAF"/>
    <w:rsid w:val="00CD1890"/>
    <w:rsid w:val="00CD25F7"/>
    <w:rsid w:val="00CD4E92"/>
    <w:rsid w:val="00CD51CE"/>
    <w:rsid w:val="00CD5458"/>
    <w:rsid w:val="00CE1D48"/>
    <w:rsid w:val="00CE2D61"/>
    <w:rsid w:val="00CE4F88"/>
    <w:rsid w:val="00CE54B0"/>
    <w:rsid w:val="00CE6364"/>
    <w:rsid w:val="00CE6CBB"/>
    <w:rsid w:val="00CF195B"/>
    <w:rsid w:val="00D113BB"/>
    <w:rsid w:val="00D151DA"/>
    <w:rsid w:val="00D41F4C"/>
    <w:rsid w:val="00D429E9"/>
    <w:rsid w:val="00D55BC8"/>
    <w:rsid w:val="00D60801"/>
    <w:rsid w:val="00D753E6"/>
    <w:rsid w:val="00D76ACF"/>
    <w:rsid w:val="00D835AD"/>
    <w:rsid w:val="00D86494"/>
    <w:rsid w:val="00D925C9"/>
    <w:rsid w:val="00D94922"/>
    <w:rsid w:val="00DA1EF9"/>
    <w:rsid w:val="00DA4907"/>
    <w:rsid w:val="00DD11F9"/>
    <w:rsid w:val="00DD52EE"/>
    <w:rsid w:val="00DE4733"/>
    <w:rsid w:val="00DE6AF2"/>
    <w:rsid w:val="00DF5EF1"/>
    <w:rsid w:val="00E013FC"/>
    <w:rsid w:val="00E01DCF"/>
    <w:rsid w:val="00E073D1"/>
    <w:rsid w:val="00E22069"/>
    <w:rsid w:val="00E51776"/>
    <w:rsid w:val="00E52CF1"/>
    <w:rsid w:val="00E81702"/>
    <w:rsid w:val="00E869D3"/>
    <w:rsid w:val="00EA34B5"/>
    <w:rsid w:val="00EB20C9"/>
    <w:rsid w:val="00EB6314"/>
    <w:rsid w:val="00ED13C7"/>
    <w:rsid w:val="00ED2BC7"/>
    <w:rsid w:val="00EE1048"/>
    <w:rsid w:val="00EE2802"/>
    <w:rsid w:val="00EE4AC5"/>
    <w:rsid w:val="00EE4ACE"/>
    <w:rsid w:val="00EF1794"/>
    <w:rsid w:val="00EF365C"/>
    <w:rsid w:val="00F017BF"/>
    <w:rsid w:val="00F047AE"/>
    <w:rsid w:val="00F070E7"/>
    <w:rsid w:val="00F10E97"/>
    <w:rsid w:val="00F13653"/>
    <w:rsid w:val="00F152F1"/>
    <w:rsid w:val="00F23DDE"/>
    <w:rsid w:val="00F3651D"/>
    <w:rsid w:val="00F437FE"/>
    <w:rsid w:val="00F50CEA"/>
    <w:rsid w:val="00F529CD"/>
    <w:rsid w:val="00F54134"/>
    <w:rsid w:val="00F56B1D"/>
    <w:rsid w:val="00F67177"/>
    <w:rsid w:val="00F735BD"/>
    <w:rsid w:val="00F7459B"/>
    <w:rsid w:val="00F8346D"/>
    <w:rsid w:val="00F86D0F"/>
    <w:rsid w:val="00F90043"/>
    <w:rsid w:val="00F916D0"/>
    <w:rsid w:val="00F93BB6"/>
    <w:rsid w:val="00FA2640"/>
    <w:rsid w:val="00FA5077"/>
    <w:rsid w:val="00FB0359"/>
    <w:rsid w:val="00FC2AFE"/>
    <w:rsid w:val="00FC553E"/>
    <w:rsid w:val="00FC7C99"/>
    <w:rsid w:val="00FD630A"/>
    <w:rsid w:val="00FE5FC8"/>
    <w:rsid w:val="00FE63FA"/>
    <w:rsid w:val="00FF0E41"/>
    <w:rsid w:val="00FF2BC4"/>
    <w:rsid w:val="00FF61B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bcb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65E96"/>
    <w:rPr>
      <w:rFonts w:ascii="Arial" w:hAnsi="Arial"/>
      <w:sz w:val="22"/>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B65E96"/>
    <w:pPr>
      <w:tabs>
        <w:tab w:val="center" w:pos="4819"/>
        <w:tab w:val="right" w:pos="9071"/>
      </w:tabs>
    </w:pPr>
  </w:style>
  <w:style w:type="paragraph" w:styleId="Beschriftung">
    <w:name w:val="caption"/>
    <w:basedOn w:val="Standard"/>
    <w:next w:val="Standard"/>
    <w:qFormat/>
    <w:rsid w:val="00B65E96"/>
    <w:rPr>
      <w:b/>
    </w:rPr>
  </w:style>
  <w:style w:type="character" w:styleId="Hyperlink">
    <w:name w:val="Hyperlink"/>
    <w:basedOn w:val="Absatz-Standardschriftart"/>
    <w:rsid w:val="00F3651D"/>
    <w:rPr>
      <w:color w:val="0000FF"/>
      <w:u w:val="single"/>
    </w:rPr>
  </w:style>
  <w:style w:type="paragraph" w:styleId="Kopfzeile">
    <w:name w:val="header"/>
    <w:basedOn w:val="Standard"/>
    <w:rsid w:val="00F3651D"/>
    <w:pPr>
      <w:tabs>
        <w:tab w:val="center" w:pos="4536"/>
        <w:tab w:val="right" w:pos="9072"/>
      </w:tabs>
    </w:pPr>
  </w:style>
  <w:style w:type="character" w:styleId="Seitenzahl">
    <w:name w:val="page number"/>
    <w:basedOn w:val="Absatz-Standardschriftart"/>
    <w:rsid w:val="00A132ED"/>
  </w:style>
  <w:style w:type="paragraph" w:styleId="Sprechblasentext">
    <w:name w:val="Balloon Text"/>
    <w:basedOn w:val="Standard"/>
    <w:semiHidden/>
    <w:rsid w:val="001061C7"/>
    <w:rPr>
      <w:rFonts w:ascii="Tahoma" w:hAnsi="Tahoma" w:cs="Tahoma"/>
      <w:sz w:val="16"/>
      <w:szCs w:val="16"/>
    </w:rPr>
  </w:style>
  <w:style w:type="paragraph" w:styleId="Funotentext">
    <w:name w:val="footnote text"/>
    <w:basedOn w:val="Standard"/>
    <w:semiHidden/>
    <w:rsid w:val="005B71E4"/>
    <w:rPr>
      <w:sz w:val="20"/>
    </w:rPr>
  </w:style>
  <w:style w:type="character" w:styleId="Funotenzeichen">
    <w:name w:val="footnote reference"/>
    <w:basedOn w:val="Absatz-Standardschriftart"/>
    <w:semiHidden/>
    <w:rsid w:val="005B71E4"/>
    <w:rPr>
      <w:vertAlign w:val="superscript"/>
    </w:rPr>
  </w:style>
  <w:style w:type="character" w:styleId="Kommentarzeichen">
    <w:name w:val="annotation reference"/>
    <w:basedOn w:val="Absatz-Standardschriftart"/>
    <w:rsid w:val="002420F9"/>
    <w:rPr>
      <w:sz w:val="16"/>
      <w:szCs w:val="16"/>
    </w:rPr>
  </w:style>
  <w:style w:type="paragraph" w:styleId="Kommentartext">
    <w:name w:val="annotation text"/>
    <w:basedOn w:val="Standard"/>
    <w:link w:val="KommentartextZchn"/>
    <w:rsid w:val="002420F9"/>
    <w:rPr>
      <w:sz w:val="20"/>
    </w:rPr>
  </w:style>
  <w:style w:type="character" w:customStyle="1" w:styleId="KommentartextZchn">
    <w:name w:val="Kommentartext Zchn"/>
    <w:basedOn w:val="Absatz-Standardschriftart"/>
    <w:link w:val="Kommentartext"/>
    <w:rsid w:val="002420F9"/>
    <w:rPr>
      <w:rFonts w:ascii="Arial" w:hAnsi="Arial"/>
      <w:lang w:eastAsia="de-DE"/>
    </w:rPr>
  </w:style>
  <w:style w:type="paragraph" w:styleId="Kommentarthema">
    <w:name w:val="annotation subject"/>
    <w:basedOn w:val="Kommentartext"/>
    <w:next w:val="Kommentartext"/>
    <w:link w:val="KommentarthemaZchn"/>
    <w:rsid w:val="002420F9"/>
    <w:rPr>
      <w:b/>
      <w:bCs/>
    </w:rPr>
  </w:style>
  <w:style w:type="character" w:customStyle="1" w:styleId="KommentarthemaZchn">
    <w:name w:val="Kommentarthema Zchn"/>
    <w:basedOn w:val="KommentartextZchn"/>
    <w:link w:val="Kommentarthema"/>
    <w:rsid w:val="002420F9"/>
    <w:rPr>
      <w:b/>
      <w:bCs/>
    </w:rPr>
  </w:style>
  <w:style w:type="character" w:styleId="BesuchterHyperlink">
    <w:name w:val="FollowedHyperlink"/>
    <w:basedOn w:val="Absatz-Standardschriftart"/>
    <w:rsid w:val="00E869D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in.ch/ch/d/sr/9/943.02.d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ch/ch/d/sr/8/823.21.d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in.ch/ch/d/sr/i1/0.142.112.681.d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BADA-7C4A-40B4-9001-2FEC3C86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4660</Words>
  <Characters>32990</Characters>
  <Application>Microsoft Office Word</Application>
  <DocSecurity>0</DocSecurity>
  <Lines>274</Lines>
  <Paragraphs>75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37575</CharactersWithSpaces>
  <SharedDoc>false</SharedDoc>
  <HLinks>
    <vt:vector size="18" baseType="variant">
      <vt:variant>
        <vt:i4>8126514</vt:i4>
      </vt:variant>
      <vt:variant>
        <vt:i4>10</vt:i4>
      </vt:variant>
      <vt:variant>
        <vt:i4>0</vt:i4>
      </vt:variant>
      <vt:variant>
        <vt:i4>5</vt:i4>
      </vt:variant>
      <vt:variant>
        <vt:lpwstr>http://www.admin.ch/ch/d/sr/9/943.02.de.pdf</vt:lpwstr>
      </vt:variant>
      <vt:variant>
        <vt:lpwstr/>
      </vt:variant>
      <vt:variant>
        <vt:i4>7929904</vt:i4>
      </vt:variant>
      <vt:variant>
        <vt:i4>7</vt:i4>
      </vt:variant>
      <vt:variant>
        <vt:i4>0</vt:i4>
      </vt:variant>
      <vt:variant>
        <vt:i4>5</vt:i4>
      </vt:variant>
      <vt:variant>
        <vt:lpwstr>http://www.admin.ch/ch/d/sr/8/823.21.de.pdf</vt:lpwstr>
      </vt:variant>
      <vt:variant>
        <vt:lpwstr/>
      </vt:variant>
      <vt:variant>
        <vt:i4>8192100</vt:i4>
      </vt:variant>
      <vt:variant>
        <vt:i4>4</vt:i4>
      </vt:variant>
      <vt:variant>
        <vt:i4>0</vt:i4>
      </vt:variant>
      <vt:variant>
        <vt:i4>5</vt:i4>
      </vt:variant>
      <vt:variant>
        <vt:lpwstr>http://www.admin.ch/ch/d/sr/i1/0.142.112.681.de.pdf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Leutert</dc:creator>
  <cp:lastModifiedBy>Barbara</cp:lastModifiedBy>
  <cp:revision>2</cp:revision>
  <cp:lastPrinted>2010-09-20T12:58:00Z</cp:lastPrinted>
  <dcterms:created xsi:type="dcterms:W3CDTF">2014-07-14T11:45:00Z</dcterms:created>
  <dcterms:modified xsi:type="dcterms:W3CDTF">2014-07-14T11:45:00Z</dcterms:modified>
</cp:coreProperties>
</file>